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6"/>
        <w:tblW w:w="89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53"/>
        <w:gridCol w:w="1893"/>
      </w:tblGrid>
      <w:tr w14:paraId="32899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53" w:type="dxa"/>
            <w:tcBorders>
              <w:tl2br w:val="nil"/>
              <w:tr2bl w:val="nil"/>
            </w:tcBorders>
            <w:vAlign w:val="center"/>
          </w:tcPr>
          <w:p w14:paraId="0AA8D7C3">
            <w:pPr>
              <w:jc w:val="center"/>
              <w:rPr>
                <w:rFonts w:hint="eastAsia" w:ascii="方正小标宋简体" w:hAnsi="方正小标宋简体" w:eastAsia="方正小标宋简体" w:cs="方正小标宋简体"/>
                <w:color w:val="0B0B0B"/>
                <w:sz w:val="72"/>
                <w:szCs w:val="72"/>
                <w:vertAlign w:val="baseline"/>
                <w:lang w:eastAsia="zh-CN"/>
              </w:rPr>
            </w:pPr>
            <w:r>
              <w:rPr>
                <w:rFonts w:hint="eastAsia" w:ascii="方正小标宋简体" w:hAnsi="方正小标宋简体" w:eastAsia="方正小标宋简体" w:cs="方正小标宋简体"/>
                <w:b w:val="0"/>
                <w:bCs w:val="0"/>
                <w:color w:val="FF0000"/>
                <w:w w:val="50"/>
                <w:sz w:val="72"/>
                <w:szCs w:val="72"/>
                <w:vertAlign w:val="baseline"/>
                <w:lang w:eastAsia="zh-CN"/>
              </w:rPr>
              <w:t>北京市门头沟区安全生产委员会办公室</w:t>
            </w:r>
          </w:p>
        </w:tc>
        <w:tc>
          <w:tcPr>
            <w:tcW w:w="1893" w:type="dxa"/>
            <w:vMerge w:val="restart"/>
            <w:tcBorders>
              <w:tl2br w:val="nil"/>
              <w:tr2bl w:val="nil"/>
            </w:tcBorders>
            <w:vAlign w:val="center"/>
          </w:tcPr>
          <w:p w14:paraId="4EBD96C1">
            <w:pPr>
              <w:pStyle w:val="4"/>
              <w:keepNext w:val="0"/>
              <w:keepLines w:val="0"/>
              <w:pageBreakBefore w:val="0"/>
              <w:widowControl w:val="0"/>
              <w:kinsoku/>
              <w:wordWrap/>
              <w:overflowPunct/>
              <w:topLinePunct w:val="0"/>
              <w:autoSpaceDE/>
              <w:autoSpaceDN/>
              <w:bidi w:val="0"/>
              <w:adjustRightInd/>
              <w:snapToGrid/>
              <w:spacing w:before="42" w:line="720" w:lineRule="exact"/>
              <w:ind w:left="0" w:leftChars="0" w:right="-10" w:rightChars="0" w:firstLine="0" w:firstLineChars="0"/>
              <w:jc w:val="center"/>
              <w:textAlignment w:val="auto"/>
              <w:outlineLvl w:val="0"/>
              <w:rPr>
                <w:rFonts w:hint="eastAsia" w:ascii="方正小标宋简体" w:hAnsi="方正小标宋简体" w:eastAsia="方正小标宋简体" w:cs="方正小标宋简体"/>
                <w:color w:val="0B0B0B"/>
                <w:vertAlign w:val="baseline"/>
              </w:rPr>
            </w:pPr>
            <w:r>
              <w:rPr>
                <w:rFonts w:hint="eastAsia" w:ascii="方正小标宋简体" w:hAnsi="方正小标宋简体" w:eastAsia="方正小标宋简体" w:cs="方正小标宋简体"/>
                <w:b w:val="0"/>
                <w:bCs/>
                <w:color w:val="FF0000"/>
                <w:w w:val="60"/>
                <w:sz w:val="72"/>
                <w:lang w:eastAsia="zh-CN"/>
              </w:rPr>
              <w:t>文件</w:t>
            </w:r>
          </w:p>
        </w:tc>
      </w:tr>
      <w:tr w14:paraId="6A668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trPr>
        <w:tc>
          <w:tcPr>
            <w:tcW w:w="7053" w:type="dxa"/>
            <w:tcBorders>
              <w:tl2br w:val="nil"/>
              <w:tr2bl w:val="nil"/>
            </w:tcBorders>
            <w:vAlign w:val="center"/>
          </w:tcPr>
          <w:p w14:paraId="719CE75B">
            <w:pPr>
              <w:pStyle w:val="4"/>
              <w:spacing w:before="42" w:line="249" w:lineRule="auto"/>
              <w:ind w:left="8" w:leftChars="0" w:right="-10" w:rightChars="0" w:hanging="8" w:firstLineChars="0"/>
              <w:jc w:val="center"/>
              <w:rPr>
                <w:rFonts w:hint="eastAsia" w:ascii="方正小标宋简体" w:hAnsi="方正小标宋简体" w:eastAsia="方正小标宋简体" w:cs="方正小标宋简体"/>
                <w:color w:val="0B0B0B"/>
                <w:sz w:val="72"/>
                <w:szCs w:val="72"/>
                <w:vertAlign w:val="baseline"/>
                <w:lang w:eastAsia="zh-CN"/>
              </w:rPr>
            </w:pPr>
            <w:r>
              <w:rPr>
                <w:rFonts w:hint="eastAsia" w:ascii="方正小标宋简体" w:hAnsi="方正小标宋简体" w:eastAsia="方正小标宋简体" w:cs="方正小标宋简体"/>
                <w:b w:val="0"/>
                <w:bCs/>
                <w:color w:val="FF0000"/>
                <w:w w:val="50"/>
                <w:kern w:val="2"/>
                <w:sz w:val="72"/>
                <w:szCs w:val="72"/>
                <w:vertAlign w:val="baseline"/>
                <w:lang w:val="en-US" w:eastAsia="zh-CN" w:bidi="ar-SA"/>
              </w:rPr>
              <w:t>北京市门头沟区防火安全委员会办公室</w:t>
            </w:r>
          </w:p>
        </w:tc>
        <w:tc>
          <w:tcPr>
            <w:tcW w:w="1893" w:type="dxa"/>
            <w:vMerge w:val="continue"/>
            <w:tcBorders>
              <w:tl2br w:val="nil"/>
              <w:tr2bl w:val="nil"/>
            </w:tcBorders>
            <w:vAlign w:val="center"/>
          </w:tcPr>
          <w:p w14:paraId="1E8D4005">
            <w:pPr>
              <w:pStyle w:val="4"/>
              <w:spacing w:before="42" w:line="249" w:lineRule="auto"/>
              <w:ind w:right="-10" w:rightChars="0"/>
              <w:jc w:val="center"/>
              <w:rPr>
                <w:rFonts w:hint="eastAsia" w:ascii="方正小标宋简体" w:hAnsi="方正小标宋简体" w:eastAsia="方正小标宋简体" w:cs="方正小标宋简体"/>
                <w:color w:val="0B0B0B"/>
                <w:vertAlign w:val="baseline"/>
              </w:rPr>
            </w:pPr>
          </w:p>
        </w:tc>
      </w:tr>
    </w:tbl>
    <w:p w14:paraId="65077561">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52"/>
          <w:highlight w:val="none"/>
          <w:lang w:eastAsia="zh-CN"/>
        </w:rPr>
      </w:pPr>
      <w:r>
        <w:rPr>
          <w:rFonts w:hint="eastAsia" w:ascii="仿宋_GB2312" w:hAnsi="华文中宋" w:eastAsia="仿宋_GB2312"/>
          <w:sz w:val="32"/>
          <w:szCs w:val="32"/>
          <w:highlight w:val="none"/>
          <w:lang w:val="en-US" w:eastAsia="zh-CN"/>
        </w:rPr>
        <w:t>门安办发〔2025〕17号</w:t>
      </w:r>
    </w:p>
    <w:p w14:paraId="35B462D8">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黑体" w:eastAsia="方正小标宋简体" w:cs="方正小标宋简体"/>
          <w:color w:val="0D0D0D"/>
          <w:sz w:val="44"/>
          <w:szCs w:val="44"/>
        </w:rPr>
      </w:pPr>
      <w:r>
        <w:rPr>
          <w:rFonts w:ascii="华文中宋" w:hAnsi="华文中宋" w:eastAsia="华文中宋"/>
          <w:b/>
          <w:spacing w:val="-10"/>
          <w:sz w:val="36"/>
          <w:szCs w:val="36"/>
          <w:highlight w:val="none"/>
        </w:rPr>
        <mc:AlternateContent>
          <mc:Choice Requires="wps">
            <w:drawing>
              <wp:anchor distT="0" distB="0" distL="114300" distR="114300" simplePos="0" relativeHeight="251659264" behindDoc="0" locked="0" layoutInCell="1" allowOverlap="1">
                <wp:simplePos x="0" y="0"/>
                <wp:positionH relativeFrom="column">
                  <wp:posOffset>-34290</wp:posOffset>
                </wp:positionH>
                <wp:positionV relativeFrom="paragraph">
                  <wp:posOffset>147320</wp:posOffset>
                </wp:positionV>
                <wp:extent cx="5697855" cy="0"/>
                <wp:effectExtent l="0" t="13970" r="17145" b="24130"/>
                <wp:wrapNone/>
                <wp:docPr id="5" name="直接连接符 5"/>
                <wp:cNvGraphicFramePr/>
                <a:graphic xmlns:a="http://schemas.openxmlformats.org/drawingml/2006/main">
                  <a:graphicData uri="http://schemas.microsoft.com/office/word/2010/wordprocessingShape">
                    <wps:wsp>
                      <wps:cNvCnPr/>
                      <wps:spPr>
                        <a:xfrm>
                          <a:off x="0" y="0"/>
                          <a:ext cx="5697855" cy="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7pt;margin-top:11.6pt;height:0pt;width:448.65pt;z-index:251659264;mso-width-relative:page;mso-height-relative:page;" filled="f" stroked="t" coordsize="21600,21600" o:gfxdata="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NXnUNcAAAAIAQAADwAAAAAAAAABACAAAAAiAAAAZHJzL2Rvd25yZXYu&#10;eG1sUEsBAhQAFAAAAAgAh07iQO2jrrb8AQAA8wMAAA4AAAAAAAAAAQAgAAAAJgEAAGRycy9lMm9E&#10;b2MueG1sUEsFBgAAAAAGAAYAWQEAAJQFAAAAAA==&#10;">
                <v:fill on="f" focussize="0,0"/>
                <v:stroke weight="2.25pt" color="#FF0000" joinstyle="round"/>
                <v:imagedata o:title=""/>
                <o:lock v:ext="edit" aspectratio="f"/>
              </v:line>
            </w:pict>
          </mc:Fallback>
        </mc:AlternateContent>
      </w:r>
    </w:p>
    <w:p w14:paraId="31D9F94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关于印发门头沟区安全生产和消防领域</w:t>
      </w:r>
    </w:p>
    <w:p w14:paraId="2073004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“突击战”工作方案的通知</w:t>
      </w:r>
    </w:p>
    <w:p w14:paraId="73C34C08">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sz w:val="32"/>
          <w:szCs w:val="40"/>
          <w:lang w:val="en-US" w:eastAsia="zh-CN"/>
        </w:rPr>
      </w:pPr>
    </w:p>
    <w:p w14:paraId="790D1C38">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区各安委会、防火委成员单位：</w:t>
      </w:r>
    </w:p>
    <w:p w14:paraId="3437E510">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按照市纪委市监委集中整治群众身边不正之风和腐败问题工作领导小组办公室下发的《关于进一步打好安全生产领域“突击战”的工作提示》以及区领导要求，区安委办、区防火办聚焦“水”和“火”两大突出风险，制定了门头沟区安全生产以及消防安全领域“突击战”工作方案（详见附件1、2）。请各单位按照相关职责，开展行业及属地内的安全风险排查和消防隐患治理，最大限度降低事故发生概率，最大限度控制事故造成损失。</w:t>
      </w:r>
    </w:p>
    <w:p w14:paraId="193A2FD1">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eastAsia" w:ascii="仿宋_GB2312" w:hAnsi="仿宋_GB2312" w:eastAsia="仿宋_GB2312" w:cs="仿宋_GB2312"/>
          <w:sz w:val="32"/>
          <w:szCs w:val="40"/>
          <w:lang w:val="en-US" w:eastAsia="zh-CN"/>
        </w:rPr>
      </w:pPr>
    </w:p>
    <w:p w14:paraId="052D2412">
      <w:pPr>
        <w:keepNext w:val="0"/>
        <w:keepLines w:val="0"/>
        <w:pageBreakBefore w:val="0"/>
        <w:widowControl w:val="0"/>
        <w:kinsoku/>
        <w:wordWrap/>
        <w:overflowPunct/>
        <w:topLinePunct w:val="0"/>
        <w:autoSpaceDE/>
        <w:autoSpaceDN/>
        <w:bidi w:val="0"/>
        <w:adjustRightInd/>
        <w:snapToGrid/>
        <w:spacing w:line="520" w:lineRule="exact"/>
        <w:ind w:firstLine="640"/>
        <w:jc w:val="left"/>
        <w:textAlignment w:val="auto"/>
        <w:rPr>
          <w:rFonts w:hint="eastAsia" w:ascii="仿宋_GB2312" w:hAnsi="仿宋_GB2312" w:eastAsia="仿宋_GB2312" w:cs="仿宋_GB2312"/>
          <w:b w:val="0"/>
          <w:bCs w:val="0"/>
          <w:sz w:val="32"/>
          <w:szCs w:val="40"/>
          <w:lang w:val="en-US" w:eastAsia="zh-CN"/>
        </w:rPr>
      </w:pPr>
      <w:r>
        <w:rPr>
          <w:rFonts w:hint="eastAsia" w:ascii="仿宋_GB2312" w:hAnsi="仿宋_GB2312" w:eastAsia="仿宋_GB2312" w:cs="仿宋_GB2312"/>
          <w:sz w:val="32"/>
          <w:szCs w:val="40"/>
          <w:lang w:val="en-US" w:eastAsia="zh-CN"/>
        </w:rPr>
        <w:t>附件：1.门头沟区</w:t>
      </w:r>
      <w:r>
        <w:rPr>
          <w:rFonts w:hint="eastAsia" w:ascii="仿宋_GB2312" w:hAnsi="仿宋_GB2312" w:eastAsia="仿宋_GB2312" w:cs="仿宋_GB2312"/>
          <w:b w:val="0"/>
          <w:bCs w:val="0"/>
          <w:sz w:val="32"/>
          <w:szCs w:val="40"/>
          <w:lang w:val="en-US" w:eastAsia="zh-CN"/>
        </w:rPr>
        <w:t>安全生产领域“突击战”工作方案</w:t>
      </w:r>
    </w:p>
    <w:p w14:paraId="3220E4BC">
      <w:pPr>
        <w:keepNext w:val="0"/>
        <w:keepLines w:val="0"/>
        <w:pageBreakBefore w:val="0"/>
        <w:widowControl w:val="0"/>
        <w:kinsoku/>
        <w:wordWrap/>
        <w:overflowPunct/>
        <w:topLinePunct w:val="0"/>
        <w:autoSpaceDE/>
        <w:autoSpaceDN/>
        <w:bidi w:val="0"/>
        <w:adjustRightInd/>
        <w:snapToGrid/>
        <w:spacing w:line="520" w:lineRule="exact"/>
        <w:ind w:firstLine="1600" w:firstLineChars="5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b w:val="0"/>
          <w:bCs w:val="0"/>
          <w:sz w:val="32"/>
          <w:szCs w:val="40"/>
          <w:lang w:val="en-US" w:eastAsia="zh-CN"/>
        </w:rPr>
        <w:t>2.门头沟区消防安全</w:t>
      </w:r>
      <w:r>
        <w:rPr>
          <w:rFonts w:hint="eastAsia" w:ascii="仿宋_GB2312" w:hAnsi="仿宋_GB2312" w:eastAsia="仿宋_GB2312" w:cs="仿宋_GB2312"/>
          <w:sz w:val="32"/>
          <w:szCs w:val="40"/>
          <w:lang w:val="en-US" w:eastAsia="zh-CN"/>
        </w:rPr>
        <w:t>领域“突击战”工作方案</w:t>
      </w:r>
    </w:p>
    <w:p w14:paraId="6B1F0992">
      <w:pPr>
        <w:pStyle w:val="18"/>
        <w:rPr>
          <w:rFonts w:hint="eastAsia"/>
          <w:lang w:val="en-US" w:eastAsia="zh-CN"/>
        </w:rPr>
      </w:pPr>
    </w:p>
    <w:p w14:paraId="2E1EB07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北京市门头沟区                北京市门头沟区</w:t>
      </w:r>
    </w:p>
    <w:p w14:paraId="684F8556">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sz w:val="28"/>
          <w:szCs w:val="36"/>
          <w:lang w:val="en-US" w:eastAsia="zh-CN"/>
        </w:rPr>
      </w:pPr>
      <w:r>
        <w:rPr>
          <w:rFonts w:hint="eastAsia" w:ascii="仿宋_GB2312" w:hAnsi="仿宋_GB2312" w:eastAsia="仿宋_GB2312" w:cs="仿宋_GB2312"/>
          <w:sz w:val="32"/>
          <w:szCs w:val="40"/>
          <w:lang w:val="en-US" w:eastAsia="zh-CN"/>
        </w:rPr>
        <w:t>安全生产委员会办公室          防火安全委员会办公室</w:t>
      </w:r>
    </w:p>
    <w:p w14:paraId="285F81C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2025年10月31日</w:t>
      </w:r>
    </w:p>
    <w:p w14:paraId="785478A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p>
    <w:p w14:paraId="13A8D8A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71574DF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门头沟区</w:t>
      </w:r>
      <w:r>
        <w:rPr>
          <w:rFonts w:hint="eastAsia" w:ascii="方正小标宋简体" w:hAnsi="方正小标宋简体" w:eastAsia="方正小标宋简体" w:cs="方正小标宋简体"/>
          <w:sz w:val="44"/>
          <w:szCs w:val="44"/>
        </w:rPr>
        <w:t>安全生产领域“突击战”</w:t>
      </w:r>
      <w:r>
        <w:rPr>
          <w:rFonts w:hint="eastAsia" w:ascii="方正小标宋简体" w:hAnsi="方正小标宋简体" w:eastAsia="方正小标宋简体" w:cs="方正小标宋简体"/>
          <w:sz w:val="44"/>
          <w:szCs w:val="44"/>
          <w:lang w:val="en-US" w:eastAsia="zh-CN"/>
        </w:rPr>
        <w:t>工作</w:t>
      </w:r>
      <w:r>
        <w:rPr>
          <w:rFonts w:hint="eastAsia" w:ascii="方正小标宋简体" w:hAnsi="方正小标宋简体" w:eastAsia="方正小标宋简体" w:cs="方正小标宋简体"/>
          <w:sz w:val="44"/>
          <w:szCs w:val="44"/>
        </w:rPr>
        <w:t>方案</w:t>
      </w:r>
    </w:p>
    <w:p w14:paraId="13664D5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111B2C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为深入贯彻落实习近平总书记关于安全生产</w:t>
      </w:r>
      <w:r>
        <w:rPr>
          <w:rFonts w:hint="eastAsia" w:ascii="仿宋_GB2312" w:hAnsi="仿宋_GB2312" w:eastAsia="仿宋_GB2312" w:cs="仿宋_GB2312"/>
          <w:sz w:val="32"/>
          <w:szCs w:val="32"/>
          <w:lang w:val="en-US" w:eastAsia="zh-CN"/>
        </w:rPr>
        <w:t>工作</w:t>
      </w:r>
      <w:bookmarkStart w:id="0" w:name="_GoBack"/>
      <w:bookmarkEnd w:id="0"/>
      <w:r>
        <w:rPr>
          <w:rFonts w:hint="eastAsia" w:ascii="仿宋_GB2312" w:hAnsi="仿宋_GB2312" w:eastAsia="仿宋_GB2312" w:cs="仿宋_GB2312"/>
          <w:sz w:val="32"/>
          <w:szCs w:val="32"/>
        </w:rPr>
        <w:t>重要指示精神，坚决扛起防范化解重大安全风险的政治责任，按照市、区关于打好安全生产“突击战”的部署要求，结合我区安全生产治本攻坚三年行动及当前形势，特制定本专项方案，聚焦“水”“火”两大突出风险，并全面夯实安全生产基础，集中力量开展突击整治。</w:t>
      </w:r>
    </w:p>
    <w:p w14:paraId="05F024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黑体" w:cs="楷体_GB2312"/>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工作目标</w:t>
      </w:r>
    </w:p>
    <w:p w14:paraId="6ECC86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以降概率、控损失为核心，聚焦水务线性工程等重点环节</w:t>
      </w:r>
      <w:r>
        <w:rPr>
          <w:rFonts w:hint="eastAsia"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rPr>
        <w:t>秋冬季重点防火</w:t>
      </w:r>
      <w:r>
        <w:rPr>
          <w:rFonts w:hint="eastAsia" w:ascii="仿宋_GB2312" w:hAnsi="仿宋_GB2312" w:eastAsia="仿宋_GB2312" w:cs="仿宋_GB2312"/>
          <w:sz w:val="32"/>
          <w:szCs w:val="32"/>
          <w:lang w:val="en-US" w:eastAsia="zh-CN"/>
        </w:rPr>
        <w:t>时</w:t>
      </w:r>
      <w:r>
        <w:rPr>
          <w:rFonts w:hint="eastAsia" w:ascii="仿宋_GB2312" w:hAnsi="仿宋_GB2312" w:eastAsia="仿宋_GB2312" w:cs="仿宋_GB2312"/>
          <w:sz w:val="32"/>
          <w:szCs w:val="32"/>
        </w:rPr>
        <w:t>期，全面排查治理相关领域安全隐患，加强</w:t>
      </w:r>
      <w:r>
        <w:rPr>
          <w:rFonts w:hint="eastAsia" w:ascii="仿宋_GB2312" w:hAnsi="仿宋_GB2312" w:eastAsia="仿宋_GB2312" w:cs="仿宋_GB2312"/>
          <w:sz w:val="32"/>
          <w:szCs w:val="32"/>
          <w:lang w:val="en-US" w:eastAsia="zh-CN"/>
        </w:rPr>
        <w:t>各类</w:t>
      </w:r>
      <w:r>
        <w:rPr>
          <w:rFonts w:hint="eastAsia" w:ascii="仿宋_GB2312" w:hAnsi="仿宋_GB2312" w:eastAsia="仿宋_GB2312" w:cs="仿宋_GB2312"/>
          <w:sz w:val="32"/>
          <w:szCs w:val="32"/>
        </w:rPr>
        <w:t>安全管理工作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提升防灾减灾能力，确保涉水安全形势稳定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实现森林防火安全平稳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进一步压实安全责任，堵塞监管漏洞，确保全区安全生产形势持续稳定向好。</w:t>
      </w:r>
    </w:p>
    <w:p w14:paraId="575EB5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 聚焦“水”“火”两大风险，强化突击整治</w:t>
      </w:r>
    </w:p>
    <w:p w14:paraId="156116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val="en-US" w:eastAsia="zh-CN"/>
        </w:rPr>
        <w:t>全力做好防汛准备工作</w:t>
      </w:r>
    </w:p>
    <w:p w14:paraId="040854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 w:val="32"/>
          <w:szCs w:val="32"/>
        </w:rPr>
        <w:t>统筹推动《中共北京市委办公厅北京市人民政府办公厅印发&lt;关于提升防汛避险救灾能力的若干措施&gt;的通知》落地见效，根据本区实际，制定《门头沟区落实&lt;关于提升防汛避险救灾能力的若干措施&gt;的实施方案》，明确各级各部门工作分工，统筹推进我区防汛应急能力持续提升，保障安全度汛</w:t>
      </w:r>
      <w:r>
        <w:rPr>
          <w:rFonts w:hint="eastAsia" w:ascii="仿宋_GB2312" w:hAnsi="仿宋_GB2312" w:eastAsia="仿宋_GB2312" w:cs="仿宋_GB2312"/>
          <w:sz w:val="32"/>
          <w:szCs w:val="32"/>
          <w:lang w:eastAsia="zh-CN"/>
        </w:rPr>
        <w:t>。</w:t>
      </w:r>
    </w:p>
    <w:p w14:paraId="1D9786C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责任单位：区</w:t>
      </w:r>
      <w:r>
        <w:rPr>
          <w:rFonts w:hint="eastAsia" w:ascii="仿宋_GB2312" w:hAnsi="仿宋_GB2312" w:eastAsia="仿宋_GB2312" w:cs="仿宋_GB2312"/>
          <w:b/>
          <w:bCs/>
          <w:sz w:val="32"/>
          <w:szCs w:val="32"/>
          <w:lang w:val="en-US" w:eastAsia="zh-CN"/>
        </w:rPr>
        <w:t>防汛</w:t>
      </w:r>
      <w:r>
        <w:rPr>
          <w:rFonts w:hint="eastAsia" w:ascii="仿宋_GB2312" w:hAnsi="仿宋_GB2312" w:eastAsia="仿宋_GB2312" w:cs="仿宋_GB2312"/>
          <w:b/>
          <w:bCs/>
          <w:sz w:val="32"/>
          <w:szCs w:val="32"/>
        </w:rPr>
        <w:t>办统筹协调，区</w:t>
      </w:r>
      <w:r>
        <w:rPr>
          <w:rFonts w:hint="eastAsia" w:ascii="仿宋_GB2312" w:hAnsi="仿宋_GB2312" w:eastAsia="仿宋_GB2312" w:cs="仿宋_GB2312"/>
          <w:b/>
          <w:bCs/>
          <w:sz w:val="32"/>
          <w:szCs w:val="32"/>
          <w:lang w:val="en-US" w:eastAsia="zh-CN"/>
        </w:rPr>
        <w:t>防汛指挥部各成员单位、各镇街</w:t>
      </w:r>
      <w:r>
        <w:rPr>
          <w:rFonts w:hint="eastAsia" w:ascii="仿宋_GB2312" w:hAnsi="仿宋_GB2312" w:eastAsia="仿宋_GB2312" w:cs="仿宋_GB2312"/>
          <w:b/>
          <w:bCs/>
          <w:sz w:val="32"/>
          <w:szCs w:val="32"/>
        </w:rPr>
        <w:t>按职责分工落实。</w:t>
      </w:r>
    </w:p>
    <w:p w14:paraId="19DD38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（二）全力抓好森林</w:t>
      </w:r>
      <w:r>
        <w:rPr>
          <w:rFonts w:hint="eastAsia" w:ascii="楷体_GB2312" w:hAnsi="楷体_GB2312" w:eastAsia="楷体_GB2312" w:cs="楷体_GB2312"/>
          <w:sz w:val="32"/>
          <w:szCs w:val="32"/>
          <w:lang w:val="en-US" w:eastAsia="zh-CN"/>
        </w:rPr>
        <w:t>火情防控及</w:t>
      </w:r>
      <w:r>
        <w:rPr>
          <w:rFonts w:hint="eastAsia" w:ascii="楷体_GB2312" w:hAnsi="楷体_GB2312" w:eastAsia="楷体_GB2312" w:cs="楷体_GB2312"/>
          <w:sz w:val="32"/>
          <w:szCs w:val="32"/>
        </w:rPr>
        <w:t>应急处置</w:t>
      </w:r>
      <w:r>
        <w:rPr>
          <w:rFonts w:hint="eastAsia" w:ascii="楷体_GB2312" w:hAnsi="楷体_GB2312" w:eastAsia="楷体_GB2312" w:cs="楷体_GB2312"/>
          <w:sz w:val="32"/>
          <w:szCs w:val="32"/>
          <w:lang w:eastAsia="zh-CN"/>
        </w:rPr>
        <w:t>。</w:t>
      </w:r>
    </w:p>
    <w:p w14:paraId="05B4574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一是全面强化森林火灾预防管控体系。</w:t>
      </w:r>
      <w:r>
        <w:rPr>
          <w:rFonts w:hint="eastAsia" w:ascii="仿宋_GB2312" w:hAnsi="仿宋_GB2312" w:eastAsia="仿宋_GB2312" w:cs="仿宋_GB2312"/>
          <w:sz w:val="32"/>
          <w:szCs w:val="32"/>
        </w:rPr>
        <w:t>针对秋冬季森林火险高发期，及时发布禁火令，严格管控野外用火，全面开展森林防火隐患排查，建立风险点台账，加强巡查检查；在沟口、道口等重点部位设置卡口，加强人员管控和宣传教育，加强值班值守，发现火情及时上报处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林区入口和关键路段设立检查站，加强巡护巡查力度，严肃查处烧荒、野炊、吸烟等违规用火行为。同时深化电气线路火灾治理，对林区及周边区域输配电线路开展专项排查，重点整治线路老化、私拉乱接、树线矛盾等隐患，构建全方位的火源管控网络。</w:t>
      </w:r>
      <w:r>
        <w:rPr>
          <w:rFonts w:hint="eastAsia" w:ascii="仿宋_GB2312" w:hAnsi="仿宋_GB2312" w:eastAsia="仿宋_GB2312" w:cs="仿宋_GB2312"/>
          <w:b/>
          <w:bCs/>
          <w:sz w:val="32"/>
          <w:szCs w:val="32"/>
        </w:rPr>
        <w:t>二是着力提升森林火灾应急处置能力。</w:t>
      </w:r>
      <w:r>
        <w:rPr>
          <w:rFonts w:hint="eastAsia" w:ascii="仿宋_GB2312" w:hAnsi="仿宋_GB2312" w:eastAsia="仿宋_GB2312" w:cs="仿宋_GB2312"/>
          <w:b w:val="0"/>
          <w:bCs w:val="0"/>
          <w:sz w:val="32"/>
          <w:szCs w:val="32"/>
        </w:rPr>
        <w:t>持</w:t>
      </w:r>
      <w:r>
        <w:rPr>
          <w:rFonts w:hint="eastAsia" w:ascii="仿宋_GB2312" w:hAnsi="仿宋_GB2312" w:eastAsia="仿宋_GB2312" w:cs="仿宋_GB2312"/>
          <w:sz w:val="32"/>
          <w:szCs w:val="32"/>
        </w:rPr>
        <w:t>续完善森林火灾应急预案体系，加强专业扑火队伍和半专业扑火队伍的规范化建设与实战化训练，足额储备扑火物资装备。强化监测预警和应急值守工作，最大限度减少火灾损失。</w:t>
      </w:r>
    </w:p>
    <w:p w14:paraId="150CE97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责任单位：区森防办统筹协调，区园林绿化局、区公安分局、区城管委</w:t>
      </w:r>
      <w:r>
        <w:rPr>
          <w:rFonts w:hint="eastAsia" w:ascii="仿宋_GB2312" w:hAnsi="仿宋_GB2312" w:eastAsia="仿宋_GB2312" w:cs="仿宋_GB2312"/>
          <w:b/>
          <w:bCs/>
          <w:sz w:val="32"/>
          <w:szCs w:val="32"/>
          <w:lang w:val="en-US" w:eastAsia="zh-CN"/>
        </w:rPr>
        <w:t>及区森防指相关成员单位、</w:t>
      </w:r>
      <w:r>
        <w:rPr>
          <w:rFonts w:hint="eastAsia" w:ascii="仿宋_GB2312" w:hAnsi="仿宋_GB2312" w:eastAsia="仿宋_GB2312" w:cs="仿宋_GB2312"/>
          <w:b/>
          <w:bCs/>
          <w:sz w:val="32"/>
          <w:szCs w:val="32"/>
        </w:rPr>
        <w:t>各镇街</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各有林单位</w:t>
      </w:r>
      <w:r>
        <w:rPr>
          <w:rFonts w:hint="eastAsia" w:ascii="仿宋_GB2312" w:hAnsi="仿宋_GB2312" w:eastAsia="仿宋_GB2312" w:cs="仿宋_GB2312"/>
          <w:b/>
          <w:bCs/>
          <w:sz w:val="32"/>
          <w:szCs w:val="32"/>
        </w:rPr>
        <w:t>按职责分工落实。</w:t>
      </w:r>
    </w:p>
    <w:p w14:paraId="0D5D6F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三、全面夯实安全生产基础，提升整体防控能力</w:t>
      </w:r>
    </w:p>
    <w:p w14:paraId="36F29C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b w:val="0"/>
          <w:bCs w:val="0"/>
          <w:sz w:val="32"/>
          <w:szCs w:val="32"/>
          <w:highlight w:val="none"/>
          <w:lang w:val="en-US" w:eastAsia="zh-CN"/>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val="en-US" w:eastAsia="zh-CN"/>
        </w:rPr>
        <w:t>进一步提升“企安安”系统使用质效。</w:t>
      </w:r>
      <w:r>
        <w:rPr>
          <w:rFonts w:hint="eastAsia" w:ascii="仿宋_GB2312" w:hAnsi="仿宋_GB2312" w:eastAsia="仿宋_GB2312" w:cs="仿宋_GB2312"/>
          <w:b w:val="0"/>
          <w:bCs w:val="0"/>
          <w:sz w:val="32"/>
          <w:szCs w:val="32"/>
          <w:highlight w:val="none"/>
          <w:lang w:val="en-US" w:eastAsia="zh-CN"/>
        </w:rPr>
        <w:t>围绕“主要负责人带队检查比例”“企业自查覆盖率”“从业人员培训覆盖率”三项我区全市排名较低的指标作为重点，采取数据晾晒、明察暗访组督导、警示、通报、约谈、移送“四步法”等方式督促有关部门、各镇街强化三项指标的落实。</w:t>
      </w:r>
    </w:p>
    <w:p w14:paraId="2DB474F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责任单位：区安委会办公室牵头，区安委会各成员单位、各镇街共同落实。</w:t>
      </w:r>
    </w:p>
    <w:p w14:paraId="313DA8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（二）加强工程施工现场安全监管</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区住建委、区公路分局等部门要加强对房屋市政工程、公路线性工程等施工现场的安全监管，特别是针对基坑工程、脚手架、高支模、起重机械安拆、有限空间作业等危险性较大的分部分项工程，督促施工单位严格落实专项施工方案，严格作业审批和现场安全管理，落实各项安全防护措施，严防高处坠落、坍塌、物体打击等事故。</w:t>
      </w:r>
    </w:p>
    <w:p w14:paraId="46E744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责任单位：区住建委、区公路分局按职责分工负责。</w:t>
      </w:r>
    </w:p>
    <w:p w14:paraId="02ACB1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（三）强化道路交通安全治理</w:t>
      </w:r>
      <w:r>
        <w:rPr>
          <w:rFonts w:hint="eastAsia" w:ascii="楷体_GB2312" w:hAnsi="楷体_GB2312" w:eastAsia="楷体_GB2312" w:cs="楷体_GB2312"/>
          <w:sz w:val="32"/>
          <w:szCs w:val="32"/>
          <w:lang w:eastAsia="zh-CN"/>
        </w:rPr>
        <w:t>。</w:t>
      </w:r>
      <w:r>
        <w:rPr>
          <w:rFonts w:hint="eastAsia" w:ascii="仿宋_GB2312" w:hAnsi="仿宋_GB2312" w:eastAsia="仿宋_GB2312" w:cs="仿宋_GB2312"/>
          <w:sz w:val="32"/>
          <w:szCs w:val="32"/>
        </w:rPr>
        <w:t>区交通支队、区交通局要围绕事故多发区域和路段，强化治理，明确责任与周期。部署流动巡查与定点执法，严查超速、酒驾、疲劳驾驶、超载、闯红灯等违法行为，加强宣传教育，全力遏制交通事故。</w:t>
      </w:r>
    </w:p>
    <w:p w14:paraId="1C9E9A7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责任单位：区交通支队、区交通局按职责分工负责。</w:t>
      </w:r>
    </w:p>
    <w:p w14:paraId="7BD9FF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加强燃气安全风险防控。</w:t>
      </w:r>
      <w:r>
        <w:rPr>
          <w:rFonts w:hint="eastAsia" w:ascii="仿宋_GB2312" w:hAnsi="仿宋_GB2312" w:eastAsia="仿宋_GB2312" w:cs="仿宋_GB2312"/>
          <w:sz w:val="32"/>
          <w:szCs w:val="32"/>
        </w:rPr>
        <w:t>区城管委要加强对燃气供应企业和使用单位的安全监管，通过强化执法检查以及督促供应企业落实入户安检和服务等措施，严密防范因燃气泄漏引发的火灾爆炸事故，确保燃气领域安全。</w:t>
      </w:r>
    </w:p>
    <w:p w14:paraId="16239CB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责任单位：区城管委牵头负责，各相关单位配合。</w:t>
      </w:r>
    </w:p>
    <w:p w14:paraId="52F1E5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四、实施步骤</w:t>
      </w:r>
    </w:p>
    <w:p w14:paraId="5BB3F3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（一）紧急部署与排查阶段（即日起至</w:t>
      </w:r>
      <w:r>
        <w:rPr>
          <w:rFonts w:hint="eastAsia" w:ascii="楷体_GB2312" w:hAnsi="楷体_GB2312" w:eastAsia="楷体_GB2312" w:cs="楷体_GB2312"/>
          <w:sz w:val="32"/>
          <w:szCs w:val="32"/>
          <w:lang w:val="en-US" w:eastAsia="zh-CN"/>
        </w:rPr>
        <w:t>11</w:t>
      </w:r>
      <w:r>
        <w:rPr>
          <w:rFonts w:hint="eastAsia" w:ascii="楷体_GB2312" w:hAnsi="楷体_GB2312" w:eastAsia="楷体_GB2312" w:cs="楷体_GB2312"/>
          <w:sz w:val="32"/>
          <w:szCs w:val="32"/>
        </w:rPr>
        <w:t>月</w:t>
      </w:r>
      <w:r>
        <w:rPr>
          <w:rFonts w:hint="eastAsia" w:ascii="楷体_GB2312" w:hAnsi="楷体_GB2312" w:eastAsia="楷体_GB2312" w:cs="楷体_GB2312"/>
          <w:sz w:val="32"/>
          <w:szCs w:val="32"/>
          <w:lang w:val="en-US" w:eastAsia="zh-CN"/>
        </w:rPr>
        <w:t>5</w:t>
      </w:r>
      <w:r>
        <w:rPr>
          <w:rFonts w:hint="eastAsia" w:ascii="楷体_GB2312" w:hAnsi="楷体_GB2312" w:eastAsia="楷体_GB2312" w:cs="楷体_GB2312"/>
          <w:sz w:val="32"/>
          <w:szCs w:val="32"/>
        </w:rPr>
        <w:t>日）</w:t>
      </w:r>
    </w:p>
    <w:p w14:paraId="11806E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立即传达部署“突击战”要求，各有关单位结合自身职责和上述重点任务，制定具体落实计划，全面启动风险隐患排查，建立问题清单、责任清单、整改清单。</w:t>
      </w:r>
    </w:p>
    <w:p w14:paraId="67A18B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（二）集中攻坚与整治阶段（</w:t>
      </w:r>
      <w:r>
        <w:rPr>
          <w:rFonts w:hint="eastAsia" w:ascii="楷体_GB2312" w:hAnsi="楷体_GB2312" w:eastAsia="楷体_GB2312" w:cs="楷体_GB2312"/>
          <w:sz w:val="32"/>
          <w:szCs w:val="32"/>
          <w:lang w:val="en-US" w:eastAsia="zh-CN"/>
        </w:rPr>
        <w:t>即日起</w:t>
      </w:r>
      <w:r>
        <w:rPr>
          <w:rFonts w:hint="eastAsia" w:ascii="楷体_GB2312" w:hAnsi="楷体_GB2312" w:eastAsia="楷体_GB2312" w:cs="楷体_GB2312"/>
          <w:sz w:val="32"/>
          <w:szCs w:val="32"/>
        </w:rPr>
        <w:t>至</w:t>
      </w:r>
      <w:r>
        <w:rPr>
          <w:rFonts w:hint="eastAsia" w:ascii="楷体_GB2312" w:hAnsi="楷体_GB2312" w:eastAsia="楷体_GB2312" w:cs="楷体_GB2312"/>
          <w:sz w:val="32"/>
          <w:szCs w:val="32"/>
          <w:lang w:val="en-US" w:eastAsia="zh-CN"/>
        </w:rPr>
        <w:t>12</w:t>
      </w:r>
      <w:r>
        <w:rPr>
          <w:rFonts w:hint="eastAsia" w:ascii="楷体_GB2312" w:hAnsi="楷体_GB2312" w:eastAsia="楷体_GB2312" w:cs="楷体_GB2312"/>
          <w:sz w:val="32"/>
          <w:szCs w:val="32"/>
        </w:rPr>
        <w:t>月</w:t>
      </w:r>
      <w:r>
        <w:rPr>
          <w:rFonts w:hint="eastAsia" w:ascii="楷体_GB2312" w:hAnsi="楷体_GB2312" w:eastAsia="楷体_GB2312" w:cs="楷体_GB2312"/>
          <w:sz w:val="32"/>
          <w:szCs w:val="32"/>
          <w:lang w:val="en-US" w:eastAsia="zh-CN"/>
        </w:rPr>
        <w:t>15</w:t>
      </w:r>
      <w:r>
        <w:rPr>
          <w:rFonts w:hint="eastAsia" w:ascii="楷体_GB2312" w:hAnsi="楷体_GB2312" w:eastAsia="楷体_GB2312" w:cs="楷体_GB2312"/>
          <w:sz w:val="32"/>
          <w:szCs w:val="32"/>
        </w:rPr>
        <w:t>日）</w:t>
      </w:r>
    </w:p>
    <w:p w14:paraId="35EB6C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针对排查出的突出问题和风险隐患，集中力量进行整治。区安委办、区森防办、区防汛办加强统筹协调和督导检查，运用“四步法”等手段推动问题整改。对重大隐患实行挂牌督办。</w:t>
      </w:r>
    </w:p>
    <w:p w14:paraId="38243C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（三）巩固提升与总结阶段（</w:t>
      </w:r>
      <w:r>
        <w:rPr>
          <w:rFonts w:hint="eastAsia" w:ascii="楷体_GB2312" w:hAnsi="楷体_GB2312" w:eastAsia="楷体_GB2312" w:cs="楷体_GB2312"/>
          <w:sz w:val="32"/>
          <w:szCs w:val="32"/>
          <w:lang w:val="en-US" w:eastAsia="zh-CN"/>
        </w:rPr>
        <w:t>12</w:t>
      </w:r>
      <w:r>
        <w:rPr>
          <w:rFonts w:hint="eastAsia" w:ascii="楷体_GB2312" w:hAnsi="楷体_GB2312" w:eastAsia="楷体_GB2312" w:cs="楷体_GB2312"/>
          <w:sz w:val="32"/>
          <w:szCs w:val="32"/>
        </w:rPr>
        <w:t>月</w:t>
      </w:r>
      <w:r>
        <w:rPr>
          <w:rFonts w:hint="eastAsia" w:ascii="楷体_GB2312" w:hAnsi="楷体_GB2312" w:eastAsia="楷体_GB2312" w:cs="楷体_GB2312"/>
          <w:sz w:val="32"/>
          <w:szCs w:val="32"/>
          <w:lang w:val="en-US" w:eastAsia="zh-CN"/>
        </w:rPr>
        <w:t>15</w:t>
      </w:r>
      <w:r>
        <w:rPr>
          <w:rFonts w:hint="eastAsia" w:ascii="楷体_GB2312" w:hAnsi="楷体_GB2312" w:eastAsia="楷体_GB2312" w:cs="楷体_GB2312"/>
          <w:sz w:val="32"/>
          <w:szCs w:val="32"/>
        </w:rPr>
        <w:t>日至年底）</w:t>
      </w:r>
    </w:p>
    <w:p w14:paraId="34BBB6D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对“突击战”成效进行评估总结，固化有效做法和经验，对整治中发现的共性问题和深层次矛盾，研究建立长效机制，持续巩固突击战成果。</w:t>
      </w:r>
    </w:p>
    <w:p w14:paraId="0A907FB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工作要求</w:t>
      </w:r>
    </w:p>
    <w:p w14:paraId="0E8A7657">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各有关部门、各镇街要切实提高政治站位，主要负责人要亲自部署、靠前指挥，</w:t>
      </w: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rPr>
        <w:t>部门、各镇街要密切配合，形成工作合力。</w:t>
      </w:r>
      <w:r>
        <w:rPr>
          <w:rFonts w:hint="eastAsia" w:ascii="仿宋_GB2312" w:hAnsi="仿宋_GB2312" w:eastAsia="仿宋_GB2312" w:cs="仿宋_GB2312"/>
          <w:snapToGrid/>
          <w:color w:val="auto"/>
          <w:kern w:val="0"/>
          <w:sz w:val="32"/>
          <w:szCs w:val="32"/>
          <w:highlight w:val="none"/>
          <w:lang w:val="en-US" w:eastAsia="zh-CN" w:bidi="ar-SA"/>
        </w:rPr>
        <w:t>请各镇街、各行业部门于每月15、30日下班前将工作开展情况报区安委会办公室邮箱（mtgawb@bjmtg.gov.com）。</w:t>
      </w:r>
      <w:r>
        <w:rPr>
          <w:rFonts w:hint="eastAsia" w:ascii="仿宋_GB2312" w:hAnsi="仿宋_GB2312" w:eastAsia="仿宋_GB2312" w:cs="仿宋_GB2312"/>
          <w:sz w:val="32"/>
          <w:szCs w:val="32"/>
        </w:rPr>
        <w:t>“突击战”开展情况及成效</w:t>
      </w:r>
      <w:r>
        <w:rPr>
          <w:rFonts w:hint="eastAsia" w:ascii="仿宋_GB2312" w:hAnsi="仿宋_GB2312" w:eastAsia="仿宋_GB2312" w:cs="仿宋_GB2312"/>
          <w:sz w:val="32"/>
          <w:szCs w:val="32"/>
          <w:lang w:val="en-US" w:eastAsia="zh-CN"/>
        </w:rPr>
        <w:t>将</w:t>
      </w:r>
      <w:r>
        <w:rPr>
          <w:rFonts w:hint="eastAsia" w:ascii="仿宋_GB2312" w:hAnsi="仿宋_GB2312" w:eastAsia="仿宋_GB2312" w:cs="仿宋_GB2312"/>
          <w:sz w:val="32"/>
          <w:szCs w:val="32"/>
        </w:rPr>
        <w:t>纳入年度安全生产考核重要内容。对工作进展缓慢、责任不落实、措施不到位的单位，</w:t>
      </w:r>
      <w:r>
        <w:rPr>
          <w:rFonts w:hint="eastAsia" w:ascii="仿宋_GB2312" w:hAnsi="仿宋_GB2312" w:eastAsia="仿宋_GB2312" w:cs="仿宋_GB2312"/>
          <w:sz w:val="32"/>
          <w:szCs w:val="32"/>
          <w:lang w:val="en-US" w:eastAsia="zh-CN"/>
        </w:rPr>
        <w:t>将</w:t>
      </w:r>
      <w:r>
        <w:rPr>
          <w:rFonts w:hint="eastAsia" w:ascii="仿宋_GB2312" w:hAnsi="仿宋_GB2312" w:eastAsia="仿宋_GB2312" w:cs="仿宋_GB2312"/>
          <w:sz w:val="32"/>
          <w:szCs w:val="32"/>
        </w:rPr>
        <w:t>采取警示、通报、约谈、移送等措施，严肃问责。</w:t>
      </w:r>
    </w:p>
    <w:p w14:paraId="3860CB32">
      <w:pPr>
        <w:pStyle w:val="2"/>
        <w:ind w:firstLine="640" w:firstLineChars="200"/>
        <w:jc w:val="left"/>
        <w:rPr>
          <w:rFonts w:hint="default" w:eastAsia="仿宋_GB2312"/>
          <w:lang w:val="en-US" w:eastAsia="zh-CN"/>
        </w:rPr>
      </w:pPr>
      <w:r>
        <w:rPr>
          <w:rFonts w:hint="eastAsia" w:ascii="仿宋_GB2312" w:hAnsi="仿宋_GB2312" w:eastAsia="仿宋_GB2312" w:cs="仿宋_GB2312"/>
          <w:sz w:val="32"/>
          <w:szCs w:val="32"/>
          <w:lang w:val="en-US" w:eastAsia="zh-CN"/>
        </w:rPr>
        <w:t>（联系人：马双娇；69843123，13132589730）</w:t>
      </w:r>
    </w:p>
    <w:p w14:paraId="6A7FDA7F">
      <w:pPr>
        <w:rPr>
          <w:rFonts w:hint="default"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br w:type="page"/>
      </w:r>
      <w:r>
        <w:rPr>
          <w:rFonts w:hint="eastAsia" w:ascii="黑体" w:hAnsi="黑体" w:eastAsia="黑体" w:cs="黑体"/>
          <w:spacing w:val="0"/>
          <w:sz w:val="32"/>
          <w:szCs w:val="32"/>
          <w:lang w:val="en-US" w:eastAsia="zh-CN"/>
        </w:rPr>
        <w:t>联系人</w:t>
      </w:r>
    </w:p>
    <w:p w14:paraId="54FFE72D">
      <w:pPr>
        <w:keepNext w:val="0"/>
        <w:keepLines w:val="0"/>
        <w:pageBreakBefore w:val="0"/>
        <w:wordWrap/>
        <w:overflowPunct/>
        <w:topLinePunct w:val="0"/>
        <w:autoSpaceDE w:val="0"/>
        <w:bidi w:val="0"/>
        <w:adjustRightInd w:val="0"/>
        <w:snapToGrid w:val="0"/>
        <w:spacing w:line="560" w:lineRule="exact"/>
        <w:jc w:val="left"/>
        <w:rPr>
          <w:rFonts w:hint="eastAsia" w:ascii="黑体" w:hAnsi="黑体" w:eastAsia="黑体" w:cs="黑体"/>
          <w:spacing w:val="0"/>
          <w:sz w:val="32"/>
          <w:szCs w:val="32"/>
          <w:lang w:val="en-US" w:eastAsia="zh-CN"/>
        </w:rPr>
      </w:pPr>
      <w:r>
        <w:rPr>
          <w:rFonts w:hint="eastAsia" w:ascii="黑体" w:hAnsi="黑体" w:eastAsia="黑体" w:cs="黑体"/>
          <w:spacing w:val="0"/>
          <w:sz w:val="32"/>
          <w:szCs w:val="32"/>
          <w:lang w:val="en-US" w:eastAsia="zh-CN"/>
        </w:rPr>
        <w:t>附件2：</w:t>
      </w:r>
    </w:p>
    <w:p w14:paraId="04E39A19">
      <w:pPr>
        <w:keepNext w:val="0"/>
        <w:keepLines w:val="0"/>
        <w:pageBreakBefore w:val="0"/>
        <w:wordWrap/>
        <w:overflowPunct/>
        <w:topLinePunct w:val="0"/>
        <w:autoSpaceDE w:val="0"/>
        <w:bidi w:val="0"/>
        <w:adjustRightInd w:val="0"/>
        <w:snapToGrid w:val="0"/>
        <w:spacing w:line="560" w:lineRule="exact"/>
        <w:jc w:val="center"/>
        <w:rPr>
          <w:rFonts w:hint="eastAsia" w:ascii="方正小标宋简体" w:hAnsi="方正小标宋简体" w:eastAsia="方正小标宋简体" w:cs="方正小标宋简体"/>
          <w:spacing w:val="0"/>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门头沟区消防安全领域“突击战”工作方案</w:t>
      </w:r>
    </w:p>
    <w:p w14:paraId="6FF75D4A">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4" w:firstLineChars="200"/>
        <w:textAlignment w:val="auto"/>
        <w:rPr>
          <w:rFonts w:hint="eastAsia" w:ascii="仿宋_GB2312" w:hAnsi="仿宋_GB2312" w:eastAsia="仿宋_GB2312" w:cs="仿宋_GB2312"/>
          <w:b w:val="0"/>
          <w:bCs/>
          <w:color w:val="auto"/>
          <w:spacing w:val="6"/>
          <w:sz w:val="32"/>
          <w:szCs w:val="32"/>
          <w:lang w:val="en-US" w:eastAsia="zh-CN"/>
        </w:rPr>
      </w:pPr>
    </w:p>
    <w:p w14:paraId="4D89B98B">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4" w:firstLineChars="200"/>
        <w:textAlignment w:val="auto"/>
        <w:rPr>
          <w:rFonts w:hint="eastAsia" w:ascii="仿宋_GB2312" w:hAnsi="仿宋_GB2312" w:eastAsia="仿宋_GB2312" w:cs="仿宋_GB2312"/>
          <w:b w:val="0"/>
          <w:bCs/>
          <w:color w:val="auto"/>
          <w:spacing w:val="6"/>
          <w:sz w:val="32"/>
          <w:szCs w:val="32"/>
          <w:lang w:val="en-US" w:eastAsia="zh-CN"/>
        </w:rPr>
      </w:pPr>
      <w:r>
        <w:rPr>
          <w:rFonts w:hint="eastAsia" w:ascii="仿宋_GB2312" w:hAnsi="仿宋_GB2312" w:eastAsia="仿宋_GB2312" w:cs="仿宋_GB2312"/>
          <w:b w:val="0"/>
          <w:bCs/>
          <w:color w:val="auto"/>
          <w:spacing w:val="6"/>
          <w:sz w:val="32"/>
          <w:szCs w:val="32"/>
          <w:lang w:val="en-US" w:eastAsia="zh-CN"/>
        </w:rPr>
        <w:t>按照市纪委市监委集中整治办《关于进一步打好安全领域“突击战”的工作提示》和区领导批示指示精神，为全力确保我区秋冬季节消防安全形势平稳，经区防火委办公室决定，自即日起至年底前在全区范围内部署开展消防安全领域“突击战”。为确保行动取得实效，特制定本方案。</w:t>
      </w:r>
    </w:p>
    <w:p w14:paraId="7D188D2E">
      <w:pPr>
        <w:keepNext w:val="0"/>
        <w:keepLines w:val="0"/>
        <w:pageBreakBefore w:val="0"/>
        <w:widowControl w:val="0"/>
        <w:numPr>
          <w:ilvl w:val="0"/>
          <w:numId w:val="2"/>
        </w:numPr>
        <w:pBdr>
          <w:bottom w:val="single" w:color="FFFFFF" w:sz="4" w:space="31"/>
        </w:pBdr>
        <w:suppressAutoHyphens/>
        <w:kinsoku/>
        <w:wordWrap/>
        <w:overflowPunct/>
        <w:topLinePunct w:val="0"/>
        <w:autoSpaceDE w:val="0"/>
        <w:autoSpaceDN/>
        <w:bidi w:val="0"/>
        <w:adjustRightInd w:val="0"/>
        <w:snapToGrid w:val="0"/>
        <w:spacing w:line="560" w:lineRule="exact"/>
        <w:ind w:firstLine="664" w:firstLineChars="200"/>
        <w:textAlignment w:val="auto"/>
        <w:rPr>
          <w:rFonts w:hint="eastAsia" w:ascii="黑体" w:hAnsi="黑体" w:eastAsia="黑体" w:cs="黑体"/>
          <w:sz w:val="32"/>
          <w:szCs w:val="32"/>
        </w:rPr>
      </w:pPr>
      <w:r>
        <w:rPr>
          <w:rFonts w:hint="eastAsia" w:ascii="黑体" w:hAnsi="黑体" w:eastAsia="黑体" w:cs="黑体"/>
          <w:b w:val="0"/>
          <w:bCs/>
          <w:color w:val="auto"/>
          <w:spacing w:val="6"/>
          <w:sz w:val="32"/>
          <w:szCs w:val="32"/>
          <w:lang w:val="en-US" w:eastAsia="zh-CN"/>
        </w:rPr>
        <w:t>工作目标</w:t>
      </w:r>
    </w:p>
    <w:p w14:paraId="7E834717">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4" w:firstLineChars="200"/>
        <w:textAlignment w:val="auto"/>
        <w:rPr>
          <w:rFonts w:hint="eastAsia" w:ascii="仿宋_GB2312" w:hAnsi="仿宋_GB2312" w:eastAsia="仿宋_GB2312" w:cs="仿宋_GB2312"/>
          <w:b w:val="0"/>
          <w:bCs/>
          <w:color w:val="auto"/>
          <w:spacing w:val="6"/>
          <w:sz w:val="32"/>
          <w:szCs w:val="32"/>
          <w:lang w:val="en-US" w:eastAsia="zh-CN"/>
        </w:rPr>
      </w:pPr>
      <w:r>
        <w:rPr>
          <w:rFonts w:hint="eastAsia" w:ascii="仿宋_GB2312" w:hAnsi="仿宋_GB2312" w:eastAsia="仿宋_GB2312" w:cs="仿宋_GB2312"/>
          <w:b w:val="0"/>
          <w:bCs/>
          <w:color w:val="auto"/>
          <w:spacing w:val="6"/>
          <w:sz w:val="32"/>
          <w:szCs w:val="32"/>
          <w:lang w:val="en-US" w:eastAsia="zh-CN"/>
        </w:rPr>
        <w:t>持续深化消防安全治本攻坚三年行动整治成果，聚焦电动自行车安全管理、人员密集场所火灾防范和建筑施工动火作业安全管理，重申整治标准、强化任务落实，通过有力举措最大限度降低火灾事故发生概率、最大程度控制火灾事故造成损失，确保全区火灾形势稳定。</w:t>
      </w:r>
    </w:p>
    <w:p w14:paraId="1B251110">
      <w:pPr>
        <w:keepNext w:val="0"/>
        <w:keepLines w:val="0"/>
        <w:pageBreakBefore w:val="0"/>
        <w:widowControl w:val="0"/>
        <w:numPr>
          <w:ilvl w:val="0"/>
          <w:numId w:val="2"/>
        </w:numPr>
        <w:pBdr>
          <w:bottom w:val="single" w:color="FFFFFF" w:sz="4" w:space="31"/>
        </w:pBdr>
        <w:suppressAutoHyphens/>
        <w:kinsoku/>
        <w:wordWrap/>
        <w:overflowPunct/>
        <w:topLinePunct w:val="0"/>
        <w:autoSpaceDE w:val="0"/>
        <w:autoSpaceDN/>
        <w:bidi w:val="0"/>
        <w:adjustRightInd w:val="0"/>
        <w:snapToGrid w:val="0"/>
        <w:spacing w:line="560" w:lineRule="exact"/>
        <w:ind w:firstLine="664" w:firstLineChars="200"/>
        <w:textAlignment w:val="auto"/>
        <w:rPr>
          <w:rFonts w:hint="eastAsia" w:ascii="黑体" w:hAnsi="黑体" w:eastAsia="黑体" w:cs="黑体"/>
          <w:b w:val="0"/>
          <w:bCs/>
          <w:color w:val="auto"/>
          <w:spacing w:val="6"/>
          <w:sz w:val="32"/>
          <w:szCs w:val="32"/>
          <w:lang w:val="en-US" w:eastAsia="zh-CN"/>
        </w:rPr>
      </w:pPr>
      <w:r>
        <w:rPr>
          <w:rFonts w:hint="eastAsia" w:ascii="黑体" w:hAnsi="黑体" w:eastAsia="黑体" w:cs="黑体"/>
          <w:b w:val="0"/>
          <w:bCs/>
          <w:color w:val="auto"/>
          <w:spacing w:val="6"/>
          <w:sz w:val="32"/>
          <w:szCs w:val="32"/>
          <w:lang w:val="en-US" w:eastAsia="zh-CN"/>
        </w:rPr>
        <w:t>主要任务</w:t>
      </w:r>
    </w:p>
    <w:p w14:paraId="11FD1DCB">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7" w:firstLineChars="200"/>
        <w:textAlignment w:val="auto"/>
        <w:rPr>
          <w:rFonts w:hint="default"/>
          <w:lang w:val="en-US"/>
        </w:rPr>
      </w:pPr>
      <w:r>
        <w:rPr>
          <w:rFonts w:hint="eastAsia" w:ascii="楷体_GB2312" w:hAnsi="楷体_GB2312" w:eastAsia="楷体_GB2312" w:cs="楷体_GB2312"/>
          <w:b/>
          <w:bCs w:val="0"/>
          <w:color w:val="auto"/>
          <w:spacing w:val="6"/>
          <w:sz w:val="32"/>
          <w:szCs w:val="32"/>
          <w:lang w:val="en-US" w:eastAsia="zh-CN"/>
        </w:rPr>
        <w:t>（一）电动自行车消防安全管理</w:t>
      </w:r>
    </w:p>
    <w:p w14:paraId="26A2B6F4">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7" w:firstLineChars="200"/>
        <w:textAlignment w:val="auto"/>
        <w:rPr>
          <w:rFonts w:hint="eastAsia" w:ascii="仿宋_GB2312" w:hAnsi="仿宋_GB2312" w:eastAsia="仿宋_GB2312" w:cs="仿宋_GB2312"/>
          <w:b w:val="0"/>
          <w:bCs/>
          <w:color w:val="auto"/>
          <w:spacing w:val="6"/>
          <w:sz w:val="32"/>
          <w:szCs w:val="32"/>
          <w:lang w:val="en-US" w:eastAsia="zh-CN"/>
        </w:rPr>
      </w:pPr>
      <w:r>
        <w:rPr>
          <w:rFonts w:hint="eastAsia" w:ascii="楷体_GB2312" w:hAnsi="楷体_GB2312" w:eastAsia="楷体_GB2312" w:cs="楷体_GB2312"/>
          <w:b/>
          <w:bCs w:val="0"/>
          <w:color w:val="auto"/>
          <w:spacing w:val="6"/>
          <w:sz w:val="32"/>
          <w:szCs w:val="32"/>
          <w:lang w:val="en-US" w:eastAsia="zh-CN"/>
        </w:rPr>
        <w:t>1.</w:t>
      </w:r>
      <w:r>
        <w:rPr>
          <w:rFonts w:hint="eastAsia" w:ascii="楷体_GB2312" w:hAnsi="楷体_GB2312" w:eastAsia="楷体_GB2312" w:cs="楷体_GB2312"/>
          <w:b/>
          <w:bCs/>
          <w:spacing w:val="3"/>
          <w:sz w:val="32"/>
          <w:szCs w:val="32"/>
        </w:rPr>
        <w:t>强化落实停放充电管理和执法检查。</w:t>
      </w:r>
      <w:r>
        <w:rPr>
          <w:rFonts w:ascii="楷体" w:hAnsi="楷体" w:eastAsia="楷体" w:cs="楷体"/>
          <w:spacing w:val="3"/>
          <w:sz w:val="32"/>
          <w:szCs w:val="32"/>
        </w:rPr>
        <w:t xml:space="preserve"> </w:t>
      </w:r>
      <w:r>
        <w:rPr>
          <w:rFonts w:hint="eastAsia" w:ascii="仿宋_GB2312" w:hAnsi="仿宋_GB2312" w:eastAsia="仿宋_GB2312" w:cs="仿宋_GB2312"/>
          <w:b w:val="0"/>
          <w:bCs/>
          <w:color w:val="auto"/>
          <w:spacing w:val="6"/>
          <w:sz w:val="32"/>
          <w:szCs w:val="32"/>
          <w:lang w:val="en-US" w:eastAsia="zh-CN"/>
        </w:rPr>
        <w:t>严禁在共用走道、楼梯间、安全出口等公共区域，以及违规私拉电线、电缆为电动自行车电动三轮车充电；严禁电动自行车堵塞、占用建筑内疏散通道、安全出口，以及其他共用部位。</w:t>
      </w:r>
      <w:r>
        <w:rPr>
          <w:rFonts w:hint="eastAsia" w:ascii="仿宋_GB2312" w:hAnsi="仿宋_GB2312" w:eastAsia="仿宋_GB2312" w:cs="仿宋_GB2312"/>
          <w:b/>
          <w:bCs w:val="0"/>
          <w:color w:val="auto"/>
          <w:spacing w:val="6"/>
          <w:sz w:val="32"/>
          <w:szCs w:val="32"/>
          <w:lang w:val="en-US" w:eastAsia="zh-CN"/>
        </w:rPr>
        <w:t>住建部门</w:t>
      </w:r>
      <w:r>
        <w:rPr>
          <w:rFonts w:hint="eastAsia" w:ascii="仿宋_GB2312" w:hAnsi="仿宋_GB2312" w:eastAsia="仿宋_GB2312" w:cs="仿宋_GB2312"/>
          <w:b w:val="0"/>
          <w:bCs/>
          <w:color w:val="auto"/>
          <w:spacing w:val="6"/>
          <w:sz w:val="32"/>
          <w:szCs w:val="32"/>
          <w:lang w:val="en-US" w:eastAsia="zh-CN"/>
        </w:rPr>
        <w:t>要督促房屋中介服务机构加强对其出租房屋电动自行车电动三轮车使用安全监管，查处物业服务人对电动自行车电动三轮车违规停放充电行为未进行劝阻、制止的行为；指导物业服务人提示、劝导居民不在室内停放充电。</w:t>
      </w:r>
      <w:r>
        <w:rPr>
          <w:rFonts w:hint="eastAsia" w:ascii="仿宋_GB2312" w:hAnsi="仿宋_GB2312" w:eastAsia="仿宋_GB2312" w:cs="仿宋_GB2312"/>
          <w:b/>
          <w:bCs w:val="0"/>
          <w:color w:val="auto"/>
          <w:spacing w:val="6"/>
          <w:sz w:val="32"/>
          <w:szCs w:val="32"/>
          <w:lang w:val="en-US" w:eastAsia="zh-CN"/>
        </w:rPr>
        <w:t>消防部门</w:t>
      </w:r>
      <w:r>
        <w:rPr>
          <w:rFonts w:hint="eastAsia" w:ascii="仿宋_GB2312" w:hAnsi="仿宋_GB2312" w:eastAsia="仿宋_GB2312" w:cs="仿宋_GB2312"/>
          <w:b w:val="0"/>
          <w:bCs/>
          <w:color w:val="auto"/>
          <w:spacing w:val="6"/>
          <w:sz w:val="32"/>
          <w:szCs w:val="32"/>
          <w:lang w:val="en-US" w:eastAsia="zh-CN"/>
        </w:rPr>
        <w:t>依法查处电动自行车违规停放充电的个人或管理不到位的单位。</w:t>
      </w:r>
      <w:r>
        <w:rPr>
          <w:rFonts w:hint="eastAsia" w:ascii="仿宋_GB2312" w:hAnsi="仿宋_GB2312" w:eastAsia="仿宋_GB2312" w:cs="仿宋_GB2312"/>
          <w:b/>
          <w:bCs w:val="0"/>
          <w:color w:val="auto"/>
          <w:spacing w:val="6"/>
          <w:sz w:val="32"/>
          <w:szCs w:val="32"/>
          <w:lang w:val="en-US" w:eastAsia="zh-CN"/>
        </w:rPr>
        <w:t>城管执法部门</w:t>
      </w:r>
      <w:r>
        <w:rPr>
          <w:rFonts w:hint="eastAsia" w:ascii="仿宋_GB2312" w:hAnsi="仿宋_GB2312" w:eastAsia="仿宋_GB2312" w:cs="仿宋_GB2312"/>
          <w:b w:val="0"/>
          <w:bCs/>
          <w:color w:val="auto"/>
          <w:spacing w:val="6"/>
          <w:sz w:val="32"/>
          <w:szCs w:val="32"/>
          <w:lang w:val="en-US" w:eastAsia="zh-CN"/>
        </w:rPr>
        <w:t>指导镇街依法查处物业管理区域内电动自行车电动三轮车占用、堵塞、封闭除疏散通道以外其他共用部位行为。</w:t>
      </w:r>
      <w:r>
        <w:rPr>
          <w:rFonts w:hint="eastAsia" w:ascii="仿宋_GB2312" w:hAnsi="仿宋_GB2312" w:eastAsia="仿宋_GB2312" w:cs="仿宋_GB2312"/>
          <w:b/>
          <w:bCs w:val="0"/>
          <w:color w:val="auto"/>
          <w:spacing w:val="6"/>
          <w:sz w:val="32"/>
          <w:szCs w:val="32"/>
          <w:lang w:val="en-US" w:eastAsia="zh-CN"/>
        </w:rPr>
        <w:t>民政部门</w:t>
      </w:r>
      <w:r>
        <w:rPr>
          <w:rFonts w:hint="eastAsia" w:ascii="仿宋_GB2312" w:hAnsi="仿宋_GB2312" w:eastAsia="仿宋_GB2312" w:cs="仿宋_GB2312"/>
          <w:b w:val="0"/>
          <w:bCs/>
          <w:color w:val="auto"/>
          <w:spacing w:val="6"/>
          <w:sz w:val="32"/>
          <w:szCs w:val="32"/>
          <w:lang w:val="en-US" w:eastAsia="zh-CN"/>
        </w:rPr>
        <w:t>指导居(村)民委员会通过宣传引导等方式，协助管理责任主体做好电动自行车电动三轮车使用安全管理。</w:t>
      </w:r>
      <w:r>
        <w:rPr>
          <w:rFonts w:hint="eastAsia" w:ascii="仿宋_GB2312" w:hAnsi="仿宋_GB2312" w:eastAsia="仿宋_GB2312" w:cs="仿宋_GB2312"/>
          <w:b/>
          <w:bCs w:val="0"/>
          <w:color w:val="auto"/>
          <w:spacing w:val="6"/>
          <w:sz w:val="32"/>
          <w:szCs w:val="32"/>
          <w:lang w:val="en-US" w:eastAsia="zh-CN"/>
        </w:rPr>
        <w:t>公安部门</w:t>
      </w:r>
      <w:r>
        <w:rPr>
          <w:rFonts w:hint="eastAsia" w:ascii="仿宋_GB2312" w:hAnsi="仿宋_GB2312" w:eastAsia="仿宋_GB2312" w:cs="仿宋_GB2312"/>
          <w:b w:val="0"/>
          <w:bCs/>
          <w:color w:val="auto"/>
          <w:spacing w:val="6"/>
          <w:sz w:val="32"/>
          <w:szCs w:val="32"/>
          <w:lang w:val="en-US" w:eastAsia="zh-CN"/>
        </w:rPr>
        <w:t>督促指导治安志愿者、流动人口管理员、保安员开展电动自行车电动三轮车使用安全巡查检查、清理、宣传引导工作。</w:t>
      </w:r>
      <w:r>
        <w:rPr>
          <w:rFonts w:hint="eastAsia" w:ascii="仿宋_GB2312" w:hAnsi="仿宋_GB2312" w:eastAsia="仿宋_GB2312" w:cs="仿宋_GB2312"/>
          <w:b/>
          <w:bCs w:val="0"/>
          <w:color w:val="auto"/>
          <w:spacing w:val="6"/>
          <w:sz w:val="32"/>
          <w:szCs w:val="32"/>
          <w:lang w:val="en-US" w:eastAsia="zh-CN"/>
        </w:rPr>
        <w:t>应急管理部门</w:t>
      </w:r>
      <w:r>
        <w:rPr>
          <w:rFonts w:hint="eastAsia" w:ascii="仿宋_GB2312" w:hAnsi="仿宋_GB2312" w:eastAsia="仿宋_GB2312" w:cs="仿宋_GB2312"/>
          <w:b w:val="0"/>
          <w:bCs/>
          <w:color w:val="auto"/>
          <w:spacing w:val="6"/>
          <w:sz w:val="32"/>
          <w:szCs w:val="32"/>
          <w:lang w:val="en-US" w:eastAsia="zh-CN"/>
        </w:rPr>
        <w:t>指导镇街从事安全生产检查的人员，对企业涉及电动自行车电动三轮车充电区的安全用电情况开展巡查检查。</w:t>
      </w:r>
      <w:r>
        <w:rPr>
          <w:rFonts w:hint="eastAsia" w:ascii="仿宋_GB2312" w:hAnsi="仿宋_GB2312" w:eastAsia="仿宋_GB2312" w:cs="仿宋_GB2312"/>
          <w:b/>
          <w:bCs w:val="0"/>
          <w:color w:val="auto"/>
          <w:spacing w:val="6"/>
          <w:sz w:val="32"/>
          <w:szCs w:val="32"/>
          <w:lang w:val="en-US" w:eastAsia="zh-CN"/>
        </w:rPr>
        <w:t>各镇街</w:t>
      </w:r>
      <w:r>
        <w:rPr>
          <w:rFonts w:hint="eastAsia" w:ascii="仿宋_GB2312" w:hAnsi="仿宋_GB2312" w:eastAsia="仿宋_GB2312" w:cs="仿宋_GB2312"/>
          <w:b w:val="0"/>
          <w:bCs/>
          <w:color w:val="auto"/>
          <w:spacing w:val="6"/>
          <w:sz w:val="32"/>
          <w:szCs w:val="32"/>
          <w:lang w:val="en-US" w:eastAsia="zh-CN"/>
        </w:rPr>
        <w:t>按照管理(监管)责任，落实停放充电管理，在检查执法中同步提示、劝导居民不在室内停放充电。</w:t>
      </w:r>
    </w:p>
    <w:p w14:paraId="4A1461C3">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7" w:firstLineChars="200"/>
        <w:textAlignment w:val="auto"/>
        <w:rPr>
          <w:rFonts w:hint="eastAsia" w:ascii="仿宋_GB2312" w:hAnsi="仿宋_GB2312" w:eastAsia="仿宋_GB2312" w:cs="仿宋_GB2312"/>
          <w:b w:val="0"/>
          <w:bCs/>
          <w:color w:val="auto"/>
          <w:spacing w:val="6"/>
          <w:sz w:val="32"/>
          <w:szCs w:val="32"/>
          <w:lang w:val="en-US" w:eastAsia="zh-CN"/>
        </w:rPr>
      </w:pPr>
      <w:r>
        <w:rPr>
          <w:rFonts w:hint="eastAsia" w:ascii="楷体_GB2312" w:hAnsi="楷体_GB2312" w:eastAsia="楷体_GB2312" w:cs="楷体_GB2312"/>
          <w:b/>
          <w:bCs w:val="0"/>
          <w:color w:val="auto"/>
          <w:spacing w:val="6"/>
          <w:sz w:val="32"/>
          <w:szCs w:val="32"/>
          <w:lang w:val="en-US" w:eastAsia="zh-CN"/>
        </w:rPr>
        <w:t>2.突出抓好外卖快递领域监管(管理)。</w:t>
      </w:r>
      <w:r>
        <w:rPr>
          <w:rFonts w:hint="eastAsia" w:ascii="仿宋_GB2312" w:hAnsi="仿宋_GB2312" w:eastAsia="仿宋_GB2312" w:cs="仿宋_GB2312"/>
          <w:b/>
          <w:bCs w:val="0"/>
          <w:color w:val="auto"/>
          <w:spacing w:val="6"/>
          <w:sz w:val="32"/>
          <w:szCs w:val="32"/>
          <w:lang w:val="en-US" w:eastAsia="zh-CN"/>
        </w:rPr>
        <w:t>商务、邮政管理部门</w:t>
      </w:r>
      <w:r>
        <w:rPr>
          <w:rFonts w:hint="eastAsia" w:ascii="仿宋_GB2312" w:hAnsi="仿宋_GB2312" w:eastAsia="仿宋_GB2312" w:cs="仿宋_GB2312"/>
          <w:b w:val="0"/>
          <w:bCs/>
          <w:color w:val="auto"/>
          <w:spacing w:val="6"/>
          <w:sz w:val="32"/>
          <w:szCs w:val="32"/>
          <w:lang w:val="en-US" w:eastAsia="zh-CN"/>
        </w:rPr>
        <w:t>要将外卖快递领域电动自行车电动三轮车使用安全管理纳入部门重要工作事项，作为行业日常检查重要内容；建立平台(企业)定期报送安全管理工作机制，加大督导检查力度，开展专项治理，用足通报、约谈、曝光等手段约束管理外卖快递平台企业不履职、外卖快递从业人员违法行为；对于检查和治理中发现的违法线索，</w:t>
      </w:r>
      <w:r>
        <w:rPr>
          <w:rFonts w:hint="eastAsia" w:ascii="仿宋_GB2312" w:hAnsi="仿宋_GB2312" w:eastAsia="仿宋_GB2312" w:cs="仿宋_GB2312"/>
          <w:b/>
          <w:bCs w:val="0"/>
          <w:color w:val="auto"/>
          <w:spacing w:val="6"/>
          <w:sz w:val="32"/>
          <w:szCs w:val="32"/>
          <w:lang w:val="en-US" w:eastAsia="zh-CN"/>
        </w:rPr>
        <w:t>商务部门</w:t>
      </w:r>
      <w:r>
        <w:rPr>
          <w:rFonts w:hint="eastAsia" w:ascii="仿宋_GB2312" w:hAnsi="仿宋_GB2312" w:eastAsia="仿宋_GB2312" w:cs="仿宋_GB2312"/>
          <w:b w:val="0"/>
          <w:bCs/>
          <w:color w:val="auto"/>
          <w:spacing w:val="6"/>
          <w:sz w:val="32"/>
          <w:szCs w:val="32"/>
          <w:lang w:val="en-US" w:eastAsia="zh-CN"/>
        </w:rPr>
        <w:t>要移送</w:t>
      </w:r>
      <w:r>
        <w:rPr>
          <w:rFonts w:hint="eastAsia" w:ascii="仿宋_GB2312" w:hAnsi="仿宋_GB2312" w:eastAsia="仿宋_GB2312" w:cs="仿宋_GB2312"/>
          <w:b/>
          <w:bCs w:val="0"/>
          <w:color w:val="auto"/>
          <w:spacing w:val="6"/>
          <w:sz w:val="32"/>
          <w:szCs w:val="32"/>
          <w:lang w:val="en-US" w:eastAsia="zh-CN"/>
        </w:rPr>
        <w:t>市场监管综合执法部门</w:t>
      </w:r>
      <w:r>
        <w:rPr>
          <w:rFonts w:hint="eastAsia" w:ascii="仿宋_GB2312" w:hAnsi="仿宋_GB2312" w:eastAsia="仿宋_GB2312" w:cs="仿宋_GB2312"/>
          <w:b w:val="0"/>
          <w:bCs/>
          <w:color w:val="auto"/>
          <w:spacing w:val="6"/>
          <w:sz w:val="32"/>
          <w:szCs w:val="32"/>
          <w:lang w:val="en-US" w:eastAsia="zh-CN"/>
        </w:rPr>
        <w:t>实施处罚，</w:t>
      </w:r>
      <w:r>
        <w:rPr>
          <w:rFonts w:hint="eastAsia" w:ascii="仿宋_GB2312" w:hAnsi="仿宋_GB2312" w:eastAsia="仿宋_GB2312" w:cs="仿宋_GB2312"/>
          <w:b/>
          <w:bCs w:val="0"/>
          <w:color w:val="auto"/>
          <w:spacing w:val="6"/>
          <w:sz w:val="32"/>
          <w:szCs w:val="32"/>
          <w:lang w:val="en-US" w:eastAsia="zh-CN"/>
        </w:rPr>
        <w:t>邮政管理部门</w:t>
      </w:r>
      <w:r>
        <w:rPr>
          <w:rFonts w:hint="eastAsia" w:ascii="仿宋_GB2312" w:hAnsi="仿宋_GB2312" w:eastAsia="仿宋_GB2312" w:cs="仿宋_GB2312"/>
          <w:b w:val="0"/>
          <w:bCs/>
          <w:color w:val="auto"/>
          <w:spacing w:val="6"/>
          <w:sz w:val="32"/>
          <w:szCs w:val="32"/>
          <w:lang w:val="en-US" w:eastAsia="zh-CN"/>
        </w:rPr>
        <w:t>依法查处快递企业违反行业法律法规行为，对于其他违法行为，移送</w:t>
      </w:r>
      <w:r>
        <w:rPr>
          <w:rFonts w:hint="eastAsia" w:ascii="仿宋_GB2312" w:hAnsi="仿宋_GB2312" w:eastAsia="仿宋_GB2312" w:cs="仿宋_GB2312"/>
          <w:b/>
          <w:bCs w:val="0"/>
          <w:color w:val="auto"/>
          <w:spacing w:val="6"/>
          <w:sz w:val="32"/>
          <w:szCs w:val="32"/>
          <w:lang w:val="en-US" w:eastAsia="zh-CN"/>
        </w:rPr>
        <w:t>市场监管</w:t>
      </w:r>
      <w:r>
        <w:rPr>
          <w:rFonts w:hint="eastAsia" w:ascii="仿宋_GB2312" w:hAnsi="仿宋_GB2312" w:eastAsia="仿宋_GB2312" w:cs="仿宋_GB2312"/>
          <w:b w:val="0"/>
          <w:bCs/>
          <w:color w:val="auto"/>
          <w:spacing w:val="6"/>
          <w:sz w:val="32"/>
          <w:szCs w:val="32"/>
          <w:lang w:val="en-US" w:eastAsia="zh-CN"/>
        </w:rPr>
        <w:t>等执法部门实施处罚。</w:t>
      </w:r>
    </w:p>
    <w:p w14:paraId="4D34185E">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7" w:firstLineChars="200"/>
        <w:textAlignment w:val="auto"/>
        <w:rPr>
          <w:rFonts w:hint="eastAsia" w:ascii="仿宋_GB2312" w:hAnsi="仿宋_GB2312" w:eastAsia="仿宋_GB2312" w:cs="仿宋_GB2312"/>
          <w:b w:val="0"/>
          <w:bCs/>
          <w:color w:val="auto"/>
          <w:spacing w:val="6"/>
          <w:sz w:val="32"/>
          <w:szCs w:val="32"/>
          <w:lang w:val="en-US" w:eastAsia="zh-CN"/>
        </w:rPr>
      </w:pPr>
      <w:r>
        <w:rPr>
          <w:rFonts w:hint="eastAsia" w:ascii="楷体_GB2312" w:hAnsi="楷体_GB2312" w:eastAsia="楷体_GB2312" w:cs="楷体_GB2312"/>
          <w:b/>
          <w:bCs w:val="0"/>
          <w:color w:val="auto"/>
          <w:spacing w:val="6"/>
          <w:sz w:val="32"/>
          <w:szCs w:val="32"/>
          <w:lang w:val="en-US" w:eastAsia="zh-CN"/>
        </w:rPr>
        <w:t>3.落实宣传教育培训。</w:t>
      </w:r>
      <w:r>
        <w:rPr>
          <w:rFonts w:hint="eastAsia" w:ascii="仿宋_GB2312" w:hAnsi="仿宋_GB2312" w:eastAsia="仿宋_GB2312" w:cs="仿宋_GB2312"/>
          <w:b/>
          <w:bCs w:val="0"/>
          <w:color w:val="auto"/>
          <w:spacing w:val="6"/>
          <w:sz w:val="32"/>
          <w:szCs w:val="32"/>
          <w:lang w:val="en-US" w:eastAsia="zh-CN"/>
        </w:rPr>
        <w:t>商务、邮政管理部门</w:t>
      </w:r>
      <w:r>
        <w:rPr>
          <w:rFonts w:hint="eastAsia" w:ascii="仿宋_GB2312" w:hAnsi="仿宋_GB2312" w:eastAsia="仿宋_GB2312" w:cs="仿宋_GB2312"/>
          <w:b w:val="0"/>
          <w:bCs/>
          <w:color w:val="auto"/>
          <w:spacing w:val="6"/>
          <w:sz w:val="32"/>
          <w:szCs w:val="32"/>
          <w:lang w:val="en-US" w:eastAsia="zh-CN"/>
        </w:rPr>
        <w:t>要督促外卖和邮政快递平台企业建立从业人员岗前培训和定期培训考核制度，从业人员经考核合格后方可上岗；定期向从业人员通报、推送火灾案例、法律法规和消防安全提示，强化警示宣传，督促从业人员自觉遵守安全管理规定。</w:t>
      </w:r>
      <w:r>
        <w:rPr>
          <w:rFonts w:hint="eastAsia" w:ascii="仿宋_GB2312" w:hAnsi="仿宋_GB2312" w:eastAsia="仿宋_GB2312" w:cs="仿宋_GB2312"/>
          <w:b/>
          <w:bCs w:val="0"/>
          <w:color w:val="auto"/>
          <w:spacing w:val="6"/>
          <w:sz w:val="32"/>
          <w:szCs w:val="32"/>
          <w:lang w:val="en-US" w:eastAsia="zh-CN"/>
        </w:rPr>
        <w:t>各镇街</w:t>
      </w:r>
      <w:r>
        <w:rPr>
          <w:rFonts w:hint="eastAsia" w:ascii="仿宋_GB2312" w:hAnsi="仿宋_GB2312" w:eastAsia="仿宋_GB2312" w:cs="仿宋_GB2312"/>
          <w:b w:val="0"/>
          <w:bCs/>
          <w:color w:val="auto"/>
          <w:spacing w:val="6"/>
          <w:sz w:val="32"/>
          <w:szCs w:val="32"/>
          <w:lang w:val="en-US" w:eastAsia="zh-CN"/>
        </w:rPr>
        <w:t>要利用媒体广泛开展电动自行车电动三轮车使用安全宣传提示和违法案例警示曝光，指导管理责任主体和居(村)民委员会利用住宅小区宣传栏、公告栏等开展宣传引导，不断提升居民消防安全意识。</w:t>
      </w:r>
    </w:p>
    <w:p w14:paraId="29115E3D">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7" w:firstLineChars="200"/>
        <w:textAlignment w:val="auto"/>
        <w:rPr>
          <w:rFonts w:hint="eastAsia" w:ascii="仿宋_GB2312" w:hAnsi="仿宋_GB2312" w:eastAsia="仿宋_GB2312" w:cs="仿宋_GB2312"/>
          <w:b w:val="0"/>
          <w:bCs/>
          <w:color w:val="auto"/>
          <w:spacing w:val="6"/>
          <w:sz w:val="32"/>
          <w:szCs w:val="32"/>
          <w:lang w:val="en-US" w:eastAsia="zh-CN"/>
        </w:rPr>
      </w:pPr>
      <w:r>
        <w:rPr>
          <w:rFonts w:hint="eastAsia" w:ascii="楷体_GB2312" w:hAnsi="楷体_GB2312" w:eastAsia="楷体_GB2312" w:cs="楷体_GB2312"/>
          <w:b/>
          <w:bCs w:val="0"/>
          <w:color w:val="auto"/>
          <w:spacing w:val="6"/>
          <w:sz w:val="32"/>
          <w:szCs w:val="32"/>
          <w:lang w:val="en-US" w:eastAsia="zh-CN"/>
        </w:rPr>
        <w:t>（二）人员密集场所消防安全疏散治理。</w:t>
      </w:r>
      <w:r>
        <w:rPr>
          <w:rFonts w:hint="eastAsia" w:ascii="仿宋_GB2312" w:hAnsi="仿宋_GB2312" w:eastAsia="仿宋_GB2312" w:cs="仿宋_GB2312"/>
          <w:b w:val="0"/>
          <w:bCs/>
          <w:color w:val="auto"/>
          <w:spacing w:val="6"/>
          <w:sz w:val="32"/>
          <w:szCs w:val="32"/>
          <w:lang w:val="en-US" w:eastAsia="zh-CN"/>
        </w:rPr>
        <w:t>紧紧围绕医院养老院、商场市场、宾馆饭店、餐饮场所以及剧本娱乐、公共娱乐等人员密集场所，开展消防安全疏散治理工作。</w:t>
      </w:r>
      <w:r>
        <w:rPr>
          <w:rFonts w:hint="eastAsia" w:ascii="仿宋_GB2312" w:hAnsi="仿宋_GB2312" w:eastAsia="仿宋_GB2312" w:cs="仿宋_GB2312"/>
          <w:b/>
          <w:bCs w:val="0"/>
          <w:color w:val="auto"/>
          <w:spacing w:val="6"/>
          <w:sz w:val="32"/>
          <w:szCs w:val="32"/>
          <w:lang w:val="en-US" w:eastAsia="zh-CN"/>
        </w:rPr>
        <w:t>区消防、民政、卫健、文旅、商务、教育、体育</w:t>
      </w:r>
      <w:r>
        <w:rPr>
          <w:rFonts w:hint="eastAsia" w:ascii="仿宋_GB2312" w:hAnsi="仿宋_GB2312" w:eastAsia="仿宋_GB2312" w:cs="仿宋_GB2312"/>
          <w:b w:val="0"/>
          <w:bCs/>
          <w:color w:val="auto"/>
          <w:spacing w:val="6"/>
          <w:sz w:val="32"/>
          <w:szCs w:val="32"/>
          <w:lang w:val="en-US" w:eastAsia="zh-CN"/>
        </w:rPr>
        <w:t>等相关行业部门及各镇街要督促指导本辖区、本领域人员密集场所开展消防安全疏散专项自查自纠，重点整改安全出口和疏散通道数量不足、占用堵塞以及应急照明、疏散指示标志损坏失效等问题。一是托儿所、幼儿园、医疗建筑、老年人照料设施、儿童活动场所、歌舞娱乐放映游艺场所，必须设置2个安全出口（或疏散楼梯）；二是建筑面积大于200 m²的地上人员密集场所必须设置2个安全出口（或疏散楼梯）；三是建筑面积大于50m²的地下人员密集场所必须设置2个安全出口（或疏散楼梯）；四是可以设置1个安全出口（或疏散楼梯）的人员密集场所一律采取通过外窗、逃生辅助设施等方式，确保至少有2条逃生路径；五是应急照明、疏散指示标志必须保持完好有效。</w:t>
      </w:r>
    </w:p>
    <w:p w14:paraId="628A2735">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7" w:firstLineChars="200"/>
        <w:textAlignment w:val="auto"/>
        <w:rPr>
          <w:rFonts w:hint="eastAsia" w:ascii="楷体_GB2312" w:hAnsi="楷体_GB2312" w:eastAsia="楷体_GB2312" w:cs="楷体_GB2312"/>
          <w:b/>
          <w:bCs w:val="0"/>
          <w:color w:val="auto"/>
          <w:spacing w:val="6"/>
          <w:sz w:val="32"/>
          <w:szCs w:val="32"/>
          <w:lang w:val="en-US" w:eastAsia="zh-CN"/>
        </w:rPr>
      </w:pPr>
      <w:r>
        <w:rPr>
          <w:rFonts w:hint="eastAsia" w:ascii="楷体_GB2312" w:hAnsi="楷体_GB2312" w:eastAsia="楷体_GB2312" w:cs="楷体_GB2312"/>
          <w:b/>
          <w:bCs w:val="0"/>
          <w:color w:val="auto"/>
          <w:spacing w:val="6"/>
          <w:sz w:val="32"/>
          <w:szCs w:val="32"/>
          <w:lang w:val="en-US" w:eastAsia="zh-CN"/>
        </w:rPr>
        <w:t>（三）建筑施工动火作业安全管理。</w:t>
      </w:r>
    </w:p>
    <w:p w14:paraId="266AD436">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64"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snapToGrid w:val="0"/>
          <w:color w:val="auto"/>
          <w:spacing w:val="6"/>
          <w:kern w:val="0"/>
          <w:sz w:val="32"/>
          <w:szCs w:val="32"/>
          <w:lang w:val="en-US" w:eastAsia="zh-CN" w:bidi="ar-SA"/>
        </w:rPr>
        <w:t>要严格落实北京市消防救援总队等11部门联合印发的《北京市既有建筑施工动火作业消防安全管理规定》要求，落实“三个严格”要求：即</w:t>
      </w:r>
      <w:r>
        <w:rPr>
          <w:rFonts w:hint="default" w:ascii="Times New Roman" w:hAnsi="Times New Roman" w:eastAsia="黑体" w:cs="Times New Roman"/>
          <w:sz w:val="32"/>
          <w:szCs w:val="32"/>
          <w:lang w:eastAsia="zh-CN"/>
        </w:rPr>
        <w:t>严格施工现场“同类同管”“同质同管”。</w:t>
      </w:r>
      <w:r>
        <w:rPr>
          <w:rFonts w:hint="eastAsia" w:ascii="仿宋_GB2312" w:hAnsi="仿宋_GB2312" w:eastAsia="仿宋_GB2312" w:cs="仿宋_GB2312"/>
          <w:sz w:val="32"/>
          <w:szCs w:val="32"/>
          <w:lang w:eastAsia="zh-CN"/>
        </w:rPr>
        <w:t>要将电焊、气焊、切割作业及使用喷灯、打磨、砂轮、电钻等可能产生火焰、火花和炽热表面的作业按照动火作业标准进行“同类同管”，要将各类油漆、涂料、溶剂等可燃易燃物品参照危化品标准进行“同质同管”；严格落实与明火作业点保持安全距离；明火作业时严禁与使用油漆以及有机溶剂、乙二胺、冷底子油等易挥发产生易燃气体的物资作业交叉。</w:t>
      </w:r>
      <w:r>
        <w:rPr>
          <w:rFonts w:hint="default" w:ascii="Times New Roman" w:hAnsi="Times New Roman" w:eastAsia="黑体" w:cs="Times New Roman"/>
          <w:sz w:val="32"/>
          <w:szCs w:val="32"/>
          <w:lang w:eastAsia="zh-CN"/>
        </w:rPr>
        <w:t>严格施工动火作业全过程管理。</w:t>
      </w:r>
      <w:r>
        <w:rPr>
          <w:rFonts w:hint="eastAsia" w:ascii="仿宋_GB2312" w:hAnsi="仿宋_GB2312" w:eastAsia="仿宋_GB2312" w:cs="仿宋_GB2312"/>
          <w:sz w:val="32"/>
          <w:szCs w:val="32"/>
          <w:lang w:val="en-US" w:eastAsia="zh-CN"/>
        </w:rPr>
        <w:t>各类施工</w:t>
      </w:r>
      <w:r>
        <w:rPr>
          <w:rFonts w:hint="eastAsia" w:ascii="仿宋_GB2312" w:hAnsi="仿宋_GB2312" w:eastAsia="仿宋_GB2312" w:cs="仿宋_GB2312"/>
          <w:sz w:val="32"/>
          <w:szCs w:val="32"/>
          <w:lang w:eastAsia="zh-CN"/>
        </w:rPr>
        <w:t>现场在施工前，必须</w:t>
      </w:r>
      <w:r>
        <w:rPr>
          <w:rFonts w:hint="eastAsia" w:ascii="仿宋_GB2312" w:hAnsi="仿宋_GB2312" w:eastAsia="仿宋_GB2312" w:cs="仿宋_GB2312"/>
          <w:sz w:val="32"/>
          <w:szCs w:val="32"/>
          <w:lang w:val="en-US" w:eastAsia="zh-CN"/>
        </w:rPr>
        <w:t>依法依规办理施工许可证或限额以下小型工程信息备案登记；动火作业人员必须持相应特种行业资格，并严格遵守安全操作规程；施工区域要按照规定安装独立式感烟探测器、视频监控系统，报警和监测信号同步到单位消防安全管理人、中控室、施工单位负责人等，实行全时段监测、动态巡视。</w:t>
      </w:r>
      <w:r>
        <w:rPr>
          <w:rFonts w:hint="eastAsia" w:ascii="仿宋_GB2312" w:hAnsi="仿宋_GB2312" w:eastAsia="仿宋_GB2312" w:cs="仿宋_GB2312"/>
          <w:b/>
          <w:bCs/>
          <w:sz w:val="32"/>
          <w:szCs w:val="32"/>
          <w:lang w:val="en-US" w:eastAsia="zh-CN"/>
        </w:rPr>
        <w:t>施工动火作业前，</w:t>
      </w:r>
      <w:r>
        <w:rPr>
          <w:rFonts w:hint="eastAsia" w:ascii="仿宋_GB2312" w:hAnsi="仿宋_GB2312" w:eastAsia="仿宋_GB2312" w:cs="仿宋_GB2312"/>
          <w:kern w:val="2"/>
          <w:sz w:val="32"/>
          <w:szCs w:val="32"/>
          <w:highlight w:val="none"/>
          <w:lang w:val="en-US" w:eastAsia="zh-CN" w:bidi="ar-SA"/>
        </w:rPr>
        <w:t>施工区与非施工区必须采取有效防火分隔，要</w:t>
      </w:r>
      <w:r>
        <w:rPr>
          <w:rFonts w:hint="eastAsia" w:ascii="仿宋_GB2312" w:hAnsi="仿宋_GB2312" w:eastAsia="仿宋_GB2312" w:cs="仿宋_GB2312"/>
          <w:sz w:val="32"/>
          <w:szCs w:val="32"/>
          <w:lang w:eastAsia="zh-CN"/>
        </w:rPr>
        <w:t>严格落实动火作业审批管理，</w:t>
      </w:r>
      <w:r>
        <w:rPr>
          <w:rFonts w:hint="eastAsia" w:ascii="仿宋_GB2312" w:hAnsi="仿宋_GB2312" w:eastAsia="仿宋_GB2312" w:cs="仿宋_GB2312"/>
          <w:sz w:val="32"/>
          <w:szCs w:val="32"/>
          <w:lang w:val="en-US" w:eastAsia="zh-CN"/>
        </w:rPr>
        <w:t>施工单位提出动火作业申请后，产权和使用单位要</w:t>
      </w:r>
      <w:r>
        <w:rPr>
          <w:rFonts w:hint="eastAsia" w:ascii="仿宋_GB2312" w:hAnsi="仿宋_GB2312" w:eastAsia="仿宋_GB2312" w:cs="仿宋_GB2312"/>
          <w:sz w:val="32"/>
          <w:szCs w:val="32"/>
          <w:lang w:eastAsia="zh-CN"/>
        </w:rPr>
        <w:t>对施工方案、人员资质、现场条件、防范措施进行</w:t>
      </w:r>
      <w:r>
        <w:rPr>
          <w:rFonts w:hint="eastAsia" w:ascii="仿宋_GB2312" w:hAnsi="仿宋_GB2312" w:eastAsia="仿宋_GB2312" w:cs="仿宋_GB2312"/>
          <w:kern w:val="2"/>
          <w:sz w:val="32"/>
          <w:szCs w:val="32"/>
          <w:highlight w:val="none"/>
          <w:lang w:val="en-US" w:eastAsia="zh-CN" w:bidi="ar-SA"/>
        </w:rPr>
        <w:t>审查和现场踏勘，逐级进行审批；</w:t>
      </w:r>
      <w:r>
        <w:rPr>
          <w:rFonts w:hint="eastAsia" w:ascii="仿宋_GB2312" w:hAnsi="仿宋_GB2312" w:eastAsia="仿宋_GB2312" w:cs="仿宋_GB2312"/>
          <w:b/>
          <w:bCs/>
          <w:kern w:val="2"/>
          <w:sz w:val="32"/>
          <w:szCs w:val="32"/>
          <w:highlight w:val="none"/>
          <w:lang w:val="en-US" w:eastAsia="zh-CN" w:bidi="ar-SA"/>
        </w:rPr>
        <w:t>施工动火作业期间，</w:t>
      </w:r>
      <w:r>
        <w:rPr>
          <w:rFonts w:hint="eastAsia" w:ascii="仿宋_GB2312" w:hAnsi="仿宋_GB2312" w:eastAsia="仿宋_GB2312" w:cs="仿宋_GB2312"/>
          <w:kern w:val="2"/>
          <w:sz w:val="32"/>
          <w:szCs w:val="32"/>
          <w:highlight w:val="none"/>
          <w:lang w:val="en-US" w:eastAsia="zh-CN" w:bidi="ar-SA"/>
        </w:rPr>
        <w:t>施工现场要及时清理现场可燃物，配置灭火器等消防设施器材，全程落实监护和防范措施；</w:t>
      </w:r>
      <w:r>
        <w:rPr>
          <w:rFonts w:hint="eastAsia" w:ascii="仿宋_GB2312" w:hAnsi="仿宋_GB2312" w:eastAsia="仿宋_GB2312" w:cs="仿宋_GB2312"/>
          <w:b/>
          <w:bCs/>
          <w:kern w:val="2"/>
          <w:sz w:val="32"/>
          <w:szCs w:val="32"/>
          <w:highlight w:val="none"/>
          <w:lang w:val="en-US" w:eastAsia="zh-CN" w:bidi="ar-SA"/>
        </w:rPr>
        <w:t>施工动火作业结束</w:t>
      </w:r>
      <w:r>
        <w:rPr>
          <w:rFonts w:hint="eastAsia" w:ascii="仿宋_GB2312" w:hAnsi="仿宋_GB2312" w:eastAsia="仿宋_GB2312" w:cs="仿宋_GB2312"/>
          <w:kern w:val="2"/>
          <w:sz w:val="32"/>
          <w:szCs w:val="32"/>
          <w:highlight w:val="none"/>
          <w:lang w:val="en-US" w:eastAsia="zh-CN" w:bidi="ar-SA"/>
        </w:rPr>
        <w:t>，必须对作业现场进行清理，切实消除残留火源，确认无火灾危险后方可离开现场。</w:t>
      </w:r>
      <w:r>
        <w:rPr>
          <w:rFonts w:hint="eastAsia" w:ascii="仿宋_GB2312" w:hAnsi="仿宋_GB2312" w:eastAsia="仿宋_GB2312" w:cs="仿宋_GB2312"/>
          <w:b/>
          <w:bCs/>
          <w:kern w:val="2"/>
          <w:sz w:val="32"/>
          <w:szCs w:val="32"/>
          <w:highlight w:val="none"/>
          <w:lang w:val="en-US" w:eastAsia="zh-CN" w:bidi="ar-SA"/>
        </w:rPr>
        <w:t>同时，</w:t>
      </w:r>
      <w:r>
        <w:rPr>
          <w:rFonts w:hint="eastAsia" w:ascii="仿宋_GB2312" w:hAnsi="仿宋_GB2312" w:eastAsia="仿宋_GB2312" w:cs="仿宋_GB2312"/>
          <w:kern w:val="2"/>
          <w:sz w:val="32"/>
          <w:szCs w:val="32"/>
          <w:highlight w:val="none"/>
          <w:lang w:val="en-US" w:eastAsia="zh-CN" w:bidi="ar-SA"/>
        </w:rPr>
        <w:t>施工动火作业的全过程必须通过“企安安”平台“动火报备”系统进行线上报备，动火前、动火期间和动火结束分别按照程序在系统上填报、上传“三填、三证、三照”</w:t>
      </w:r>
      <w:r>
        <w:rPr>
          <w:rFonts w:hint="default" w:ascii="Times New Roman" w:hAnsi="Times New Roman" w:eastAsia="仿宋_GB2312" w:cs="Times New Roman"/>
          <w:sz w:val="32"/>
          <w:szCs w:val="32"/>
          <w:lang w:eastAsia="zh-CN"/>
        </w:rPr>
        <w:t>。</w:t>
      </w:r>
      <w:r>
        <w:rPr>
          <w:rFonts w:hint="default" w:ascii="Times New Roman" w:hAnsi="Times New Roman" w:eastAsia="黑体" w:cs="Times New Roman"/>
          <w:kern w:val="2"/>
          <w:sz w:val="32"/>
          <w:szCs w:val="32"/>
          <w:lang w:val="en-US" w:eastAsia="zh-CN" w:bidi="ar-SA"/>
        </w:rPr>
        <w:t>严格施工动火作业全链条管控。</w:t>
      </w:r>
      <w:r>
        <w:rPr>
          <w:rFonts w:hint="eastAsia" w:ascii="仿宋_GB2312" w:hAnsi="仿宋_GB2312" w:eastAsia="仿宋_GB2312" w:cs="仿宋_GB2312"/>
          <w:b/>
          <w:bCs/>
          <w:sz w:val="32"/>
          <w:szCs w:val="32"/>
          <w:lang w:val="en-US" w:eastAsia="zh-CN"/>
        </w:rPr>
        <w:t>市场监督部门</w:t>
      </w:r>
      <w:r>
        <w:rPr>
          <w:rFonts w:hint="eastAsia" w:ascii="仿宋_GB2312" w:hAnsi="仿宋_GB2312" w:eastAsia="仿宋_GB2312" w:cs="仿宋_GB2312"/>
          <w:sz w:val="32"/>
          <w:szCs w:val="32"/>
          <w:lang w:val="en-US" w:eastAsia="zh-CN"/>
        </w:rPr>
        <w:t>要加强电气焊设备生产、销售主体的监督检查，</w:t>
      </w:r>
      <w:r>
        <w:rPr>
          <w:rFonts w:hint="eastAsia" w:ascii="仿宋_GB2312" w:hAnsi="仿宋_GB2312" w:eastAsia="仿宋_GB2312" w:cs="仿宋_GB2312"/>
          <w:b/>
          <w:bCs/>
          <w:sz w:val="32"/>
          <w:szCs w:val="32"/>
          <w:lang w:val="en-US" w:eastAsia="zh-CN"/>
        </w:rPr>
        <w:t>各行业部门、各镇街</w:t>
      </w:r>
      <w:r>
        <w:rPr>
          <w:rFonts w:hint="eastAsia" w:ascii="仿宋_GB2312" w:hAnsi="仿宋_GB2312" w:eastAsia="仿宋_GB2312" w:cs="仿宋_GB2312"/>
          <w:sz w:val="32"/>
          <w:szCs w:val="32"/>
          <w:lang w:val="en-US" w:eastAsia="zh-CN"/>
        </w:rPr>
        <w:t>要结合本系统、本辖区实际，推动企事业单位落实履行动火审批手续、严格持证上岗，建立健全用火用电管理制度，加强作业现场安全管理等要求；</w:t>
      </w:r>
      <w:r>
        <w:rPr>
          <w:rFonts w:hint="eastAsia" w:ascii="仿宋_GB2312" w:hAnsi="仿宋_GB2312" w:eastAsia="仿宋_GB2312" w:cs="仿宋_GB2312"/>
          <w:b/>
          <w:bCs/>
          <w:sz w:val="32"/>
          <w:szCs w:val="32"/>
          <w:lang w:val="en-US" w:eastAsia="zh-CN"/>
        </w:rPr>
        <w:t>要</w:t>
      </w:r>
      <w:r>
        <w:rPr>
          <w:rFonts w:hint="eastAsia" w:ascii="仿宋_GB2312" w:hAnsi="仿宋_GB2312" w:eastAsia="仿宋_GB2312" w:cs="仿宋_GB2312"/>
          <w:b w:val="0"/>
          <w:bCs w:val="0"/>
          <w:sz w:val="32"/>
          <w:szCs w:val="32"/>
          <w:lang w:val="en-US" w:eastAsia="zh-CN"/>
        </w:rPr>
        <w:t>通过“企安安”平台“动火报备”数据情况，制定专项检查计划，对本系统、本辖区施工动火作业开展执法检查，</w:t>
      </w:r>
      <w:r>
        <w:rPr>
          <w:rFonts w:hint="eastAsia" w:ascii="仿宋_GB2312" w:hAnsi="仿宋_GB2312" w:eastAsia="仿宋_GB2312" w:cs="仿宋_GB2312"/>
          <w:sz w:val="32"/>
          <w:szCs w:val="32"/>
          <w:lang w:val="en-US" w:eastAsia="zh-CN"/>
        </w:rPr>
        <w:t>尤其要加大对无证操作、违规作业的查处力度；</w:t>
      </w:r>
      <w:r>
        <w:rPr>
          <w:rFonts w:hint="eastAsia" w:ascii="仿宋_GB2312" w:hAnsi="仿宋_GB2312" w:eastAsia="仿宋_GB2312" w:cs="仿宋_GB2312"/>
          <w:b/>
          <w:bCs/>
          <w:sz w:val="32"/>
          <w:szCs w:val="32"/>
          <w:lang w:val="en-US" w:eastAsia="zh-CN"/>
        </w:rPr>
        <w:t>要</w:t>
      </w:r>
      <w:r>
        <w:rPr>
          <w:rFonts w:hint="eastAsia" w:ascii="仿宋_GB2312" w:hAnsi="仿宋_GB2312" w:eastAsia="仿宋_GB2312" w:cs="仿宋_GB2312"/>
          <w:sz w:val="32"/>
          <w:szCs w:val="32"/>
          <w:lang w:eastAsia="zh-CN"/>
        </w:rPr>
        <w:t>建立信息共享、联合执法等机制，依法采取法律、行政、经济等多种手段，加大处罚和惩戒力度，严厉查处违法违规建设单位、施工单位和施工人员；</w:t>
      </w:r>
      <w:r>
        <w:rPr>
          <w:rFonts w:hint="eastAsia" w:ascii="仿宋_GB2312" w:hAnsi="仿宋_GB2312" w:eastAsia="仿宋_GB2312" w:cs="仿宋_GB2312"/>
          <w:b/>
          <w:bCs/>
          <w:sz w:val="32"/>
          <w:szCs w:val="32"/>
          <w:lang w:eastAsia="zh-CN"/>
        </w:rPr>
        <w:t>要</w:t>
      </w:r>
      <w:r>
        <w:rPr>
          <w:rFonts w:hint="eastAsia" w:ascii="仿宋_GB2312" w:hAnsi="仿宋_GB2312" w:eastAsia="仿宋_GB2312" w:cs="仿宋_GB2312"/>
          <w:sz w:val="32"/>
          <w:szCs w:val="32"/>
          <w:lang w:eastAsia="zh-CN"/>
        </w:rPr>
        <w:t>加强宣传培训和警示教育，</w:t>
      </w:r>
      <w:r>
        <w:rPr>
          <w:rFonts w:hint="eastAsia" w:ascii="仿宋_GB2312" w:hAnsi="仿宋_GB2312" w:eastAsia="仿宋_GB2312" w:cs="仿宋_GB2312"/>
          <w:sz w:val="32"/>
          <w:szCs w:val="32"/>
          <w:lang w:val="en-US" w:eastAsia="zh-CN"/>
        </w:rPr>
        <w:t>在全部施工现场进行张贴《单位（场所）施工动火作业消防安全操作规程》《违法违规施工动火作业“五停工”“两拘留”》宣传海报，</w:t>
      </w:r>
      <w:r>
        <w:rPr>
          <w:rFonts w:hint="eastAsia" w:ascii="仿宋_GB2312" w:hAnsi="仿宋_GB2312" w:eastAsia="仿宋_GB2312" w:cs="仿宋_GB2312"/>
          <w:color w:val="auto"/>
          <w:sz w:val="32"/>
          <w:szCs w:val="32"/>
          <w:highlight w:val="none"/>
          <w:lang w:val="en-US" w:eastAsia="zh-CN"/>
        </w:rPr>
        <w:t>强化全员消防安全宣传教育和实战演练，确保发生火灾会报警、会逃生、会扑救初期火灾。</w:t>
      </w:r>
    </w:p>
    <w:p w14:paraId="24938943">
      <w:pPr>
        <w:keepNext w:val="0"/>
        <w:keepLines w:val="0"/>
        <w:pageBreakBefore w:val="0"/>
        <w:widowControl w:val="0"/>
        <w:numPr>
          <w:ilvl w:val="0"/>
          <w:numId w:val="2"/>
        </w:numPr>
        <w:pBdr>
          <w:bottom w:val="single" w:color="FFFFFF" w:sz="4" w:space="31"/>
        </w:pBdr>
        <w:suppressAutoHyphens/>
        <w:kinsoku/>
        <w:wordWrap/>
        <w:overflowPunct/>
        <w:topLinePunct w:val="0"/>
        <w:autoSpaceDE w:val="0"/>
        <w:autoSpaceDN/>
        <w:bidi w:val="0"/>
        <w:adjustRightInd w:val="0"/>
        <w:snapToGrid w:val="0"/>
        <w:spacing w:line="560" w:lineRule="exact"/>
        <w:ind w:left="0" w:leftChars="0" w:firstLine="640" w:firstLineChars="200"/>
        <w:textAlignment w:val="auto"/>
        <w:rPr>
          <w:rFonts w:hint="eastAsia" w:ascii="黑体" w:hAnsi="黑体" w:eastAsia="黑体" w:cs="黑体"/>
          <w:snapToGrid/>
          <w:color w:val="auto"/>
          <w:kern w:val="0"/>
          <w:sz w:val="32"/>
          <w:szCs w:val="32"/>
          <w:highlight w:val="none"/>
          <w:lang w:val="en-US" w:eastAsia="zh-CN" w:bidi="ar-SA"/>
        </w:rPr>
      </w:pPr>
      <w:r>
        <w:rPr>
          <w:rFonts w:hint="eastAsia" w:ascii="黑体" w:hAnsi="黑体" w:eastAsia="黑体" w:cs="黑体"/>
          <w:color w:val="auto"/>
          <w:sz w:val="32"/>
          <w:szCs w:val="32"/>
          <w:highlight w:val="none"/>
          <w:lang w:val="en-US" w:eastAsia="zh-CN"/>
        </w:rPr>
        <w:t>工作要求</w:t>
      </w:r>
    </w:p>
    <w:p w14:paraId="42E4B0CA">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color w:val="auto"/>
          <w:kern w:val="0"/>
          <w:sz w:val="32"/>
          <w:szCs w:val="32"/>
          <w:highlight w:val="none"/>
          <w:lang w:val="en-US" w:eastAsia="zh-CN" w:bidi="ar-SA"/>
        </w:rPr>
      </w:pPr>
      <w:r>
        <w:rPr>
          <w:rFonts w:hint="eastAsia" w:ascii="楷体_GB2312" w:hAnsi="楷体_GB2312" w:eastAsia="楷体_GB2312" w:cs="楷体_GB2312"/>
          <w:color w:val="auto"/>
          <w:sz w:val="32"/>
          <w:szCs w:val="32"/>
          <w:highlight w:val="none"/>
          <w:lang w:val="en-US" w:eastAsia="zh-CN"/>
        </w:rPr>
        <w:t>一是落实隐患上账要求</w:t>
      </w:r>
      <w:r>
        <w:rPr>
          <w:rFonts w:hint="eastAsia" w:ascii="仿宋_GB2312" w:hAnsi="仿宋_GB2312" w:eastAsia="仿宋_GB2312" w:cs="仿宋_GB2312"/>
          <w:color w:val="auto"/>
          <w:sz w:val="32"/>
          <w:szCs w:val="32"/>
          <w:highlight w:val="none"/>
          <w:lang w:val="en-US" w:eastAsia="zh-CN"/>
        </w:rPr>
        <w:t>。各镇街、各部门对督促企业单位自查发现的隐患问题、前期检查中发现的尚未整改的隐患问题、计划检查中发现的隐患问题以及利用非现场监管等形式检查发现的隐患问题建立问题清单，确保底数清、情况明、无遗漏，并实行动态更新和闭环管理。</w:t>
      </w:r>
    </w:p>
    <w:p w14:paraId="6ED734D8">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color w:val="auto"/>
          <w:kern w:val="0"/>
          <w:sz w:val="32"/>
          <w:szCs w:val="32"/>
          <w:highlight w:val="none"/>
          <w:lang w:val="en-US" w:eastAsia="zh-CN" w:bidi="ar-SA"/>
        </w:rPr>
      </w:pPr>
      <w:r>
        <w:rPr>
          <w:rFonts w:hint="eastAsia" w:ascii="楷体_GB2312" w:hAnsi="楷体_GB2312" w:eastAsia="楷体_GB2312" w:cs="楷体_GB2312"/>
          <w:color w:val="auto"/>
          <w:sz w:val="32"/>
          <w:szCs w:val="32"/>
          <w:highlight w:val="none"/>
          <w:lang w:val="en-US" w:eastAsia="zh-CN"/>
        </w:rPr>
        <w:t>二是落实隐患整改要求。</w:t>
      </w:r>
      <w:r>
        <w:rPr>
          <w:rFonts w:hint="eastAsia" w:ascii="仿宋_GB2312" w:hAnsi="仿宋_GB2312" w:eastAsia="仿宋_GB2312" w:cs="仿宋_GB2312"/>
          <w:snapToGrid/>
          <w:color w:val="auto"/>
          <w:kern w:val="0"/>
          <w:sz w:val="32"/>
          <w:szCs w:val="32"/>
          <w:highlight w:val="none"/>
          <w:lang w:val="en-US" w:eastAsia="zh-CN" w:bidi="ar-SA"/>
        </w:rPr>
        <w:t>各镇街、各部门对于上账隐患，要明确整改主体和整改措施，对于一时难以整改的问题要明确时限，定期复查，确保按期整改到位，坚决防止隐患拖延导致风险升级。</w:t>
      </w:r>
    </w:p>
    <w:p w14:paraId="5C406B44">
      <w:pPr>
        <w:keepNext w:val="0"/>
        <w:keepLines w:val="0"/>
        <w:pageBreakBefore w:val="0"/>
        <w:widowControl w:val="0"/>
        <w:numPr>
          <w:ilvl w:val="0"/>
          <w:numId w:val="0"/>
        </w:numPr>
        <w:pBdr>
          <w:bottom w:val="single" w:color="FFFFFF" w:sz="4" w:space="31"/>
        </w:pBdr>
        <w:suppressAutoHyphens/>
        <w:kinsoku/>
        <w:wordWrap/>
        <w:overflowPunct/>
        <w:topLinePunct w:val="0"/>
        <w:autoSpaceDE w:val="0"/>
        <w:autoSpaceDN/>
        <w:bidi w:val="0"/>
        <w:adjustRightInd w:val="0"/>
        <w:snapToGrid w:val="0"/>
        <w:spacing w:line="560" w:lineRule="exact"/>
        <w:ind w:firstLine="640" w:firstLineChars="200"/>
        <w:textAlignment w:val="auto"/>
        <w:rPr>
          <w:rFonts w:hint="eastAsia" w:ascii="仿宋_GB2312" w:hAnsi="仿宋_GB2312" w:eastAsia="仿宋_GB2312" w:cs="仿宋_GB2312"/>
          <w:snapToGrid/>
          <w:color w:val="auto"/>
          <w:kern w:val="0"/>
          <w:sz w:val="32"/>
          <w:szCs w:val="32"/>
          <w:highlight w:val="none"/>
          <w:lang w:val="en-US" w:eastAsia="zh-CN" w:bidi="ar-SA"/>
        </w:rPr>
      </w:pPr>
      <w:r>
        <w:rPr>
          <w:rFonts w:hint="eastAsia" w:ascii="楷体_GB2312" w:hAnsi="楷体_GB2312" w:eastAsia="楷体_GB2312" w:cs="楷体_GB2312"/>
          <w:color w:val="auto"/>
          <w:sz w:val="32"/>
          <w:szCs w:val="32"/>
          <w:highlight w:val="none"/>
          <w:lang w:val="en-US" w:eastAsia="zh-CN"/>
        </w:rPr>
        <w:t>三是落实信息报送要求。</w:t>
      </w:r>
      <w:r>
        <w:rPr>
          <w:rFonts w:hint="eastAsia" w:ascii="仿宋_GB2312" w:hAnsi="仿宋_GB2312" w:eastAsia="仿宋_GB2312" w:cs="仿宋_GB2312"/>
          <w:snapToGrid/>
          <w:color w:val="auto"/>
          <w:kern w:val="0"/>
          <w:sz w:val="32"/>
          <w:szCs w:val="32"/>
          <w:highlight w:val="none"/>
          <w:lang w:val="en-US" w:eastAsia="zh-CN" w:bidi="ar-SA"/>
        </w:rPr>
        <w:t>区防火办在行动期间，建立周报告机制，定期汇总工作成效向区政府领导进行报告，请各镇街、各行业部门于每月15、30日下班前将工作开展情况和隐患清单报区防火委办公室邮箱（mtg119@163.com）。</w:t>
      </w:r>
    </w:p>
    <w:p w14:paraId="51F228FD">
      <w:pPr>
        <w:pStyle w:val="2"/>
        <w:ind w:firstLine="640" w:firstLineChars="200"/>
        <w:jc w:val="left"/>
        <w:rPr>
          <w:rFonts w:hint="eastAsia"/>
          <w:lang w:val="en-US" w:eastAsia="zh-CN"/>
        </w:rPr>
        <w:sectPr>
          <w:footerReference r:id="rId3" w:type="default"/>
          <w:pgSz w:w="11906" w:h="16838"/>
          <w:pgMar w:top="1587" w:right="1474" w:bottom="1474" w:left="1587" w:header="851" w:footer="992" w:gutter="0"/>
          <w:pgNumType w:fmt="decimal"/>
          <w:cols w:space="720" w:num="1"/>
          <w:docGrid w:type="lines" w:linePitch="312" w:charSpace="0"/>
        </w:sectPr>
      </w:pPr>
      <w:r>
        <w:rPr>
          <w:rFonts w:hint="eastAsia" w:ascii="仿宋_GB2312" w:hAnsi="仿宋_GB2312" w:eastAsia="仿宋_GB2312" w:cs="仿宋_GB2312"/>
          <w:snapToGrid/>
          <w:color w:val="auto"/>
          <w:kern w:val="0"/>
          <w:sz w:val="32"/>
          <w:szCs w:val="32"/>
          <w:highlight w:val="none"/>
          <w:lang w:val="en-US" w:eastAsia="zh-CN" w:bidi="ar-SA"/>
        </w:rPr>
        <w:t>（联系人：姜麒龙；13581993876）</w:t>
      </w:r>
    </w:p>
    <w:p w14:paraId="7BBB844A">
      <w:pPr>
        <w:pStyle w:val="19"/>
        <w:rPr>
          <w:rFonts w:hint="eastAsia"/>
          <w:lang w:val="en-US" w:eastAsia="zh-CN"/>
        </w:rPr>
      </w:pPr>
    </w:p>
    <w:p w14:paraId="3FCCC75E">
      <w:pPr>
        <w:adjustRightInd w:val="0"/>
        <w:snapToGrid w:val="0"/>
        <w:spacing w:line="360" w:lineRule="auto"/>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消防安全隐患排查台账</w:t>
      </w:r>
    </w:p>
    <w:p w14:paraId="6FC22784">
      <w:pPr>
        <w:adjustRightInd w:val="0"/>
        <w:snapToGrid w:val="0"/>
        <w:spacing w:line="360" w:lineRule="auto"/>
        <w:jc w:val="left"/>
        <w:rPr>
          <w:rFonts w:hint="default" w:ascii="Times New Roman" w:hAnsi="Times New Roman" w:eastAsia="仿宋_GB2312" w:cs="Times New Roman"/>
          <w:sz w:val="28"/>
          <w:szCs w:val="21"/>
          <w:lang w:val="en-US" w:eastAsia="zh-CN"/>
        </w:rPr>
      </w:pPr>
      <w:r>
        <w:rPr>
          <w:rFonts w:hint="default" w:ascii="Times New Roman" w:hAnsi="Times New Roman" w:cs="Times New Roman"/>
          <w:sz w:val="28"/>
          <w:szCs w:val="21"/>
        </w:rPr>
        <w:t>单位</w:t>
      </w:r>
      <w:r>
        <w:rPr>
          <w:rFonts w:hint="eastAsia" w:ascii="Times New Roman" w:cs="Times New Roman"/>
          <w:sz w:val="28"/>
          <w:szCs w:val="21"/>
          <w:lang w:eastAsia="zh-CN"/>
        </w:rPr>
        <w:t>：</w:t>
      </w:r>
      <w:r>
        <w:rPr>
          <w:rFonts w:hint="default" w:ascii="Times New Roman" w:hAnsi="Times New Roman" w:cs="Times New Roman"/>
          <w:sz w:val="28"/>
          <w:szCs w:val="21"/>
        </w:rPr>
        <w:t xml:space="preserve">        </w:t>
      </w:r>
      <w:r>
        <w:rPr>
          <w:rFonts w:hint="eastAsia" w:ascii="Times New Roman" w:hAnsi="Times New Roman" w:eastAsia="宋体" w:cs="Times New Roman"/>
          <w:sz w:val="28"/>
          <w:szCs w:val="21"/>
          <w:lang w:val="en-US" w:eastAsia="zh-CN"/>
        </w:rPr>
        <w:t xml:space="preserve">          </w:t>
      </w:r>
      <w:r>
        <w:rPr>
          <w:rFonts w:hint="default" w:ascii="Times New Roman" w:hAnsi="Times New Roman" w:cs="Times New Roman"/>
          <w:sz w:val="28"/>
          <w:szCs w:val="21"/>
        </w:rPr>
        <w:t xml:space="preserve">联系人：         </w:t>
      </w:r>
      <w:r>
        <w:rPr>
          <w:rFonts w:hint="eastAsia" w:ascii="Times New Roman" w:hAnsi="Times New Roman" w:eastAsia="宋体" w:cs="Times New Roman"/>
          <w:sz w:val="28"/>
          <w:szCs w:val="21"/>
          <w:lang w:val="en-US" w:eastAsia="zh-CN"/>
        </w:rPr>
        <w:t xml:space="preserve">                    </w:t>
      </w:r>
      <w:r>
        <w:rPr>
          <w:rFonts w:hint="default" w:ascii="Times New Roman" w:hAnsi="Times New Roman" w:cs="Times New Roman"/>
          <w:sz w:val="28"/>
          <w:szCs w:val="21"/>
        </w:rPr>
        <w:t xml:space="preserve"> 联系方式：</w:t>
      </w:r>
    </w:p>
    <w:tbl>
      <w:tblPr>
        <w:tblStyle w:val="15"/>
        <w:tblW w:w="86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50"/>
        <w:gridCol w:w="1036"/>
        <w:gridCol w:w="1065"/>
        <w:gridCol w:w="954"/>
        <w:gridCol w:w="2101"/>
        <w:gridCol w:w="1146"/>
        <w:gridCol w:w="668"/>
        <w:gridCol w:w="1177"/>
      </w:tblGrid>
      <w:tr w14:paraId="59994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27" w:hRule="atLeast"/>
        </w:trPr>
        <w:tc>
          <w:tcPr>
            <w:tcW w:w="550" w:type="dxa"/>
            <w:noWrap w:val="0"/>
            <w:vAlign w:val="center"/>
          </w:tcPr>
          <w:p w14:paraId="04DA0E61">
            <w:pPr>
              <w:adjustRightInd w:val="0"/>
              <w:snapToGrid w:val="0"/>
              <w:spacing w:line="360" w:lineRule="auto"/>
              <w:jc w:val="center"/>
              <w:rPr>
                <w:rFonts w:hint="eastAsia" w:ascii="黑体" w:hAnsi="黑体" w:eastAsia="黑体" w:cs="黑体"/>
                <w:sz w:val="21"/>
                <w:szCs w:val="21"/>
              </w:rPr>
            </w:pPr>
            <w:r>
              <w:rPr>
                <w:rFonts w:hint="eastAsia" w:ascii="黑体" w:hAnsi="黑体" w:eastAsia="黑体" w:cs="黑体"/>
                <w:sz w:val="21"/>
                <w:szCs w:val="21"/>
              </w:rPr>
              <w:t>序号</w:t>
            </w:r>
          </w:p>
        </w:tc>
        <w:tc>
          <w:tcPr>
            <w:tcW w:w="1036" w:type="dxa"/>
            <w:noWrap w:val="0"/>
            <w:vAlign w:val="center"/>
          </w:tcPr>
          <w:p w14:paraId="7FDC5D95">
            <w:pPr>
              <w:adjustRightInd w:val="0"/>
              <w:snapToGrid w:val="0"/>
              <w:spacing w:line="360" w:lineRule="auto"/>
              <w:jc w:val="center"/>
              <w:rPr>
                <w:rFonts w:hint="eastAsia" w:ascii="黑体" w:hAnsi="黑体" w:eastAsia="黑体" w:cs="黑体"/>
                <w:sz w:val="21"/>
                <w:szCs w:val="21"/>
              </w:rPr>
            </w:pPr>
            <w:r>
              <w:rPr>
                <w:rFonts w:hint="eastAsia" w:ascii="黑体" w:hAnsi="黑体" w:eastAsia="黑体" w:cs="黑体"/>
                <w:sz w:val="21"/>
                <w:szCs w:val="21"/>
              </w:rPr>
              <w:t>单位名称</w:t>
            </w:r>
          </w:p>
        </w:tc>
        <w:tc>
          <w:tcPr>
            <w:tcW w:w="1065" w:type="dxa"/>
            <w:noWrap w:val="0"/>
            <w:vAlign w:val="center"/>
          </w:tcPr>
          <w:p w14:paraId="2DC639DA">
            <w:pPr>
              <w:adjustRightInd w:val="0"/>
              <w:snapToGrid w:val="0"/>
              <w:spacing w:line="360" w:lineRule="auto"/>
              <w:jc w:val="center"/>
              <w:rPr>
                <w:rFonts w:hint="eastAsia" w:ascii="黑体" w:hAnsi="黑体" w:eastAsia="黑体" w:cs="黑体"/>
                <w:sz w:val="21"/>
                <w:szCs w:val="21"/>
              </w:rPr>
            </w:pPr>
            <w:r>
              <w:rPr>
                <w:rFonts w:hint="eastAsia" w:ascii="黑体" w:hAnsi="黑体" w:eastAsia="黑体" w:cs="黑体"/>
                <w:sz w:val="21"/>
                <w:szCs w:val="21"/>
              </w:rPr>
              <w:t>具体地址</w:t>
            </w:r>
          </w:p>
        </w:tc>
        <w:tc>
          <w:tcPr>
            <w:tcW w:w="954" w:type="dxa"/>
            <w:noWrap w:val="0"/>
            <w:vAlign w:val="center"/>
          </w:tcPr>
          <w:p w14:paraId="12AC920C">
            <w:pPr>
              <w:adjustRightInd w:val="0"/>
              <w:snapToGrid w:val="0"/>
              <w:spacing w:line="240" w:lineRule="exact"/>
              <w:jc w:val="center"/>
              <w:rPr>
                <w:rFonts w:hint="eastAsia" w:ascii="黑体" w:hAnsi="黑体" w:eastAsia="黑体" w:cs="黑体"/>
                <w:sz w:val="21"/>
                <w:szCs w:val="21"/>
              </w:rPr>
            </w:pPr>
            <w:r>
              <w:rPr>
                <w:rFonts w:hint="eastAsia" w:ascii="黑体" w:hAnsi="黑体" w:eastAsia="黑体" w:cs="黑体"/>
                <w:sz w:val="21"/>
                <w:szCs w:val="21"/>
              </w:rPr>
              <w:t>场所类型</w:t>
            </w:r>
          </w:p>
          <w:p w14:paraId="3CC07EB3">
            <w:pPr>
              <w:adjustRightInd w:val="0"/>
              <w:snapToGrid w:val="0"/>
              <w:spacing w:line="240" w:lineRule="exact"/>
              <w:jc w:val="center"/>
              <w:rPr>
                <w:rFonts w:hint="eastAsia" w:ascii="黑体" w:hAnsi="黑体" w:eastAsia="黑体" w:cs="黑体"/>
                <w:sz w:val="21"/>
                <w:szCs w:val="21"/>
              </w:rPr>
            </w:pPr>
            <w:r>
              <w:rPr>
                <w:rFonts w:hint="eastAsia" w:ascii="黑体" w:hAnsi="黑体" w:eastAsia="黑体" w:cs="黑体"/>
                <w:sz w:val="18"/>
                <w:szCs w:val="21"/>
              </w:rPr>
              <w:t>（宾馆饭店、商市场、公共娱乐场所、居民小区、出租房屋、生产企业、小微作坊等）</w:t>
            </w:r>
          </w:p>
        </w:tc>
        <w:tc>
          <w:tcPr>
            <w:tcW w:w="2101" w:type="dxa"/>
            <w:noWrap w:val="0"/>
            <w:vAlign w:val="center"/>
          </w:tcPr>
          <w:p w14:paraId="1138AB53">
            <w:pPr>
              <w:adjustRightInd w:val="0"/>
              <w:snapToGrid w:val="0"/>
              <w:spacing w:line="360" w:lineRule="auto"/>
              <w:jc w:val="center"/>
              <w:rPr>
                <w:rFonts w:hint="eastAsia" w:ascii="黑体" w:hAnsi="黑体" w:eastAsia="黑体" w:cs="黑体"/>
                <w:sz w:val="21"/>
                <w:szCs w:val="21"/>
              </w:rPr>
            </w:pPr>
            <w:r>
              <w:rPr>
                <w:rFonts w:hint="eastAsia" w:ascii="黑体" w:hAnsi="黑体" w:eastAsia="黑体" w:cs="黑体"/>
                <w:sz w:val="21"/>
                <w:szCs w:val="21"/>
              </w:rPr>
              <w:t>存在具体隐患</w:t>
            </w:r>
          </w:p>
          <w:p w14:paraId="4BFCCC20">
            <w:pPr>
              <w:adjustRightInd w:val="0"/>
              <w:snapToGrid w:val="0"/>
              <w:spacing w:line="240" w:lineRule="exact"/>
              <w:jc w:val="center"/>
              <w:rPr>
                <w:rFonts w:hint="eastAsia" w:ascii="黑体" w:hAnsi="黑体" w:eastAsia="黑体" w:cs="黑体"/>
                <w:sz w:val="21"/>
                <w:szCs w:val="21"/>
              </w:rPr>
            </w:pPr>
            <w:r>
              <w:rPr>
                <w:rFonts w:hint="eastAsia" w:ascii="黑体" w:hAnsi="黑体" w:eastAsia="黑体" w:cs="黑体"/>
                <w:sz w:val="18"/>
                <w:szCs w:val="21"/>
              </w:rPr>
              <w:t>（设施设备类、安全疏散类、用电用气不规范类、消防车通道类、违规“三个一”使用等；在表明隐患类别同时写明具体隐患情况）</w:t>
            </w:r>
          </w:p>
        </w:tc>
        <w:tc>
          <w:tcPr>
            <w:tcW w:w="1146" w:type="dxa"/>
            <w:tcBorders>
              <w:right w:val="single" w:color="auto" w:sz="4" w:space="0"/>
            </w:tcBorders>
            <w:noWrap w:val="0"/>
            <w:vAlign w:val="center"/>
          </w:tcPr>
          <w:p w14:paraId="59265F58">
            <w:pPr>
              <w:adjustRightInd w:val="0"/>
              <w:snapToGrid w:val="0"/>
              <w:spacing w:line="360" w:lineRule="auto"/>
              <w:jc w:val="center"/>
              <w:rPr>
                <w:rFonts w:hint="eastAsia" w:ascii="黑体" w:hAnsi="黑体" w:eastAsia="黑体" w:cs="黑体"/>
                <w:sz w:val="21"/>
                <w:szCs w:val="21"/>
              </w:rPr>
            </w:pPr>
            <w:r>
              <w:rPr>
                <w:rFonts w:hint="eastAsia" w:ascii="黑体" w:hAnsi="黑体" w:eastAsia="黑体" w:cs="黑体"/>
                <w:sz w:val="21"/>
                <w:szCs w:val="21"/>
              </w:rPr>
              <w:t>隐患整改时限</w:t>
            </w:r>
          </w:p>
        </w:tc>
        <w:tc>
          <w:tcPr>
            <w:tcW w:w="668" w:type="dxa"/>
            <w:tcBorders>
              <w:left w:val="single" w:color="auto" w:sz="4" w:space="0"/>
              <w:right w:val="single" w:color="auto" w:sz="4" w:space="0"/>
            </w:tcBorders>
            <w:noWrap w:val="0"/>
            <w:vAlign w:val="center"/>
          </w:tcPr>
          <w:p w14:paraId="07A71816">
            <w:pPr>
              <w:adjustRightInd w:val="0"/>
              <w:snapToGrid w:val="0"/>
              <w:spacing w:line="360" w:lineRule="auto"/>
              <w:jc w:val="center"/>
              <w:rPr>
                <w:rFonts w:hint="eastAsia" w:ascii="黑体" w:hAnsi="黑体" w:eastAsia="黑体" w:cs="黑体"/>
                <w:sz w:val="21"/>
                <w:szCs w:val="21"/>
              </w:rPr>
            </w:pPr>
            <w:r>
              <w:rPr>
                <w:rFonts w:hint="eastAsia" w:ascii="黑体" w:hAnsi="黑体" w:eastAsia="黑体" w:cs="黑体"/>
                <w:sz w:val="21"/>
                <w:szCs w:val="21"/>
              </w:rPr>
              <w:t>是否整改完毕</w:t>
            </w:r>
          </w:p>
        </w:tc>
        <w:tc>
          <w:tcPr>
            <w:tcW w:w="1177" w:type="dxa"/>
            <w:tcBorders>
              <w:left w:val="single" w:color="auto" w:sz="4" w:space="0"/>
            </w:tcBorders>
            <w:noWrap w:val="0"/>
            <w:vAlign w:val="center"/>
          </w:tcPr>
          <w:p w14:paraId="6C46BE9F">
            <w:pPr>
              <w:adjustRightInd w:val="0"/>
              <w:snapToGrid w:val="0"/>
              <w:spacing w:line="360" w:lineRule="auto"/>
              <w:jc w:val="center"/>
              <w:rPr>
                <w:rFonts w:hint="eastAsia" w:ascii="黑体" w:hAnsi="黑体" w:eastAsia="黑体" w:cs="黑体"/>
                <w:sz w:val="21"/>
                <w:szCs w:val="21"/>
                <w:lang w:eastAsia="zh-CN"/>
              </w:rPr>
            </w:pPr>
            <w:r>
              <w:rPr>
                <w:rFonts w:hint="eastAsia" w:ascii="黑体" w:hAnsi="黑体" w:eastAsia="黑体" w:cs="黑体"/>
                <w:sz w:val="21"/>
                <w:szCs w:val="21"/>
                <w:lang w:eastAsia="zh-CN"/>
              </w:rPr>
              <w:t>无法立即整改的，采取的临时管控措施</w:t>
            </w:r>
          </w:p>
        </w:tc>
      </w:tr>
      <w:tr w14:paraId="10BEDE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8" w:hRule="atLeast"/>
        </w:trPr>
        <w:tc>
          <w:tcPr>
            <w:tcW w:w="550" w:type="dxa"/>
            <w:noWrap w:val="0"/>
            <w:vAlign w:val="center"/>
          </w:tcPr>
          <w:p w14:paraId="58CA6EB9">
            <w:pPr>
              <w:adjustRightInd w:val="0"/>
              <w:snapToGrid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1036" w:type="dxa"/>
            <w:noWrap w:val="0"/>
            <w:vAlign w:val="center"/>
          </w:tcPr>
          <w:p w14:paraId="275DB4EC">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065" w:type="dxa"/>
            <w:noWrap w:val="0"/>
            <w:vAlign w:val="center"/>
          </w:tcPr>
          <w:p w14:paraId="4E1144C2">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954" w:type="dxa"/>
            <w:noWrap w:val="0"/>
            <w:vAlign w:val="center"/>
          </w:tcPr>
          <w:p w14:paraId="35ABC838">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2101" w:type="dxa"/>
            <w:noWrap w:val="0"/>
            <w:vAlign w:val="center"/>
          </w:tcPr>
          <w:p w14:paraId="26B93CD5">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146" w:type="dxa"/>
            <w:tcBorders>
              <w:right w:val="single" w:color="auto" w:sz="4" w:space="0"/>
            </w:tcBorders>
            <w:noWrap w:val="0"/>
            <w:vAlign w:val="center"/>
          </w:tcPr>
          <w:p w14:paraId="69B888A8">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668" w:type="dxa"/>
            <w:tcBorders>
              <w:left w:val="single" w:color="auto" w:sz="4" w:space="0"/>
              <w:right w:val="single" w:color="auto" w:sz="4" w:space="0"/>
            </w:tcBorders>
            <w:noWrap w:val="0"/>
            <w:vAlign w:val="center"/>
          </w:tcPr>
          <w:p w14:paraId="71A969A0">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177" w:type="dxa"/>
            <w:tcBorders>
              <w:left w:val="single" w:color="auto" w:sz="4" w:space="0"/>
            </w:tcBorders>
            <w:noWrap w:val="0"/>
            <w:vAlign w:val="center"/>
          </w:tcPr>
          <w:p w14:paraId="3F4EEA72">
            <w:pPr>
              <w:adjustRightInd w:val="0"/>
              <w:snapToGrid w:val="0"/>
              <w:spacing w:line="360" w:lineRule="auto"/>
              <w:jc w:val="center"/>
              <w:rPr>
                <w:rFonts w:hint="default" w:ascii="Times New Roman" w:hAnsi="Times New Roman" w:cs="Times New Roman"/>
                <w:sz w:val="21"/>
                <w:szCs w:val="21"/>
              </w:rPr>
            </w:pPr>
          </w:p>
        </w:tc>
      </w:tr>
      <w:tr w14:paraId="4FFEA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1" w:hRule="atLeast"/>
        </w:trPr>
        <w:tc>
          <w:tcPr>
            <w:tcW w:w="550" w:type="dxa"/>
            <w:noWrap w:val="0"/>
            <w:vAlign w:val="center"/>
          </w:tcPr>
          <w:p w14:paraId="14D94A68">
            <w:pPr>
              <w:adjustRightInd w:val="0"/>
              <w:snapToGrid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036" w:type="dxa"/>
            <w:noWrap w:val="0"/>
            <w:vAlign w:val="center"/>
          </w:tcPr>
          <w:p w14:paraId="3BDA0EB3">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065" w:type="dxa"/>
            <w:noWrap w:val="0"/>
            <w:vAlign w:val="center"/>
          </w:tcPr>
          <w:p w14:paraId="148C4683">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954" w:type="dxa"/>
            <w:noWrap w:val="0"/>
            <w:vAlign w:val="center"/>
          </w:tcPr>
          <w:p w14:paraId="7D1B968B">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2101" w:type="dxa"/>
            <w:noWrap w:val="0"/>
            <w:vAlign w:val="center"/>
          </w:tcPr>
          <w:p w14:paraId="64B6F77E">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146" w:type="dxa"/>
            <w:tcBorders>
              <w:right w:val="single" w:color="auto" w:sz="4" w:space="0"/>
            </w:tcBorders>
            <w:noWrap w:val="0"/>
            <w:vAlign w:val="center"/>
          </w:tcPr>
          <w:p w14:paraId="0F4AACB3">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668" w:type="dxa"/>
            <w:tcBorders>
              <w:left w:val="single" w:color="auto" w:sz="4" w:space="0"/>
              <w:right w:val="single" w:color="auto" w:sz="4" w:space="0"/>
            </w:tcBorders>
            <w:noWrap w:val="0"/>
            <w:vAlign w:val="center"/>
          </w:tcPr>
          <w:p w14:paraId="1CD1FC4A">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177" w:type="dxa"/>
            <w:tcBorders>
              <w:left w:val="single" w:color="auto" w:sz="4" w:space="0"/>
            </w:tcBorders>
            <w:noWrap w:val="0"/>
            <w:vAlign w:val="center"/>
          </w:tcPr>
          <w:p w14:paraId="48D2219D">
            <w:pPr>
              <w:adjustRightInd w:val="0"/>
              <w:snapToGrid w:val="0"/>
              <w:spacing w:line="360" w:lineRule="auto"/>
              <w:jc w:val="center"/>
              <w:rPr>
                <w:rFonts w:hint="default" w:ascii="Times New Roman" w:hAnsi="Times New Roman" w:cs="Times New Roman"/>
                <w:sz w:val="21"/>
                <w:szCs w:val="21"/>
              </w:rPr>
            </w:pPr>
          </w:p>
        </w:tc>
      </w:tr>
      <w:tr w14:paraId="457AF2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80" w:hRule="atLeast"/>
        </w:trPr>
        <w:tc>
          <w:tcPr>
            <w:tcW w:w="550" w:type="dxa"/>
            <w:noWrap w:val="0"/>
            <w:vAlign w:val="center"/>
          </w:tcPr>
          <w:p w14:paraId="631D995A">
            <w:pPr>
              <w:adjustRightInd w:val="0"/>
              <w:snapToGrid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1036" w:type="dxa"/>
            <w:noWrap w:val="0"/>
            <w:vAlign w:val="center"/>
          </w:tcPr>
          <w:p w14:paraId="7956BBCC">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065" w:type="dxa"/>
            <w:noWrap w:val="0"/>
            <w:vAlign w:val="center"/>
          </w:tcPr>
          <w:p w14:paraId="7DAACF41">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954" w:type="dxa"/>
            <w:noWrap w:val="0"/>
            <w:vAlign w:val="center"/>
          </w:tcPr>
          <w:p w14:paraId="781FFC60">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2101" w:type="dxa"/>
            <w:noWrap w:val="0"/>
            <w:vAlign w:val="center"/>
          </w:tcPr>
          <w:p w14:paraId="797D6139">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146" w:type="dxa"/>
            <w:tcBorders>
              <w:right w:val="single" w:color="auto" w:sz="4" w:space="0"/>
            </w:tcBorders>
            <w:noWrap w:val="0"/>
            <w:vAlign w:val="center"/>
          </w:tcPr>
          <w:p w14:paraId="6BF48B44">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668" w:type="dxa"/>
            <w:tcBorders>
              <w:left w:val="single" w:color="auto" w:sz="4" w:space="0"/>
              <w:right w:val="single" w:color="auto" w:sz="4" w:space="0"/>
            </w:tcBorders>
            <w:noWrap w:val="0"/>
            <w:vAlign w:val="center"/>
          </w:tcPr>
          <w:p w14:paraId="369AF8E3">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177" w:type="dxa"/>
            <w:tcBorders>
              <w:left w:val="single" w:color="auto" w:sz="4" w:space="0"/>
            </w:tcBorders>
            <w:noWrap w:val="0"/>
            <w:vAlign w:val="center"/>
          </w:tcPr>
          <w:p w14:paraId="3E26755A">
            <w:pPr>
              <w:adjustRightInd w:val="0"/>
              <w:snapToGrid w:val="0"/>
              <w:spacing w:line="360" w:lineRule="auto"/>
              <w:jc w:val="center"/>
              <w:rPr>
                <w:rFonts w:hint="default" w:ascii="Times New Roman" w:hAnsi="Times New Roman" w:cs="Times New Roman"/>
                <w:sz w:val="21"/>
                <w:szCs w:val="21"/>
              </w:rPr>
            </w:pPr>
          </w:p>
        </w:tc>
      </w:tr>
      <w:tr w14:paraId="6C5DF6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6" w:hRule="atLeast"/>
        </w:trPr>
        <w:tc>
          <w:tcPr>
            <w:tcW w:w="550" w:type="dxa"/>
            <w:noWrap w:val="0"/>
            <w:vAlign w:val="center"/>
          </w:tcPr>
          <w:p w14:paraId="562A776B">
            <w:pPr>
              <w:adjustRightInd w:val="0"/>
              <w:snapToGrid w:val="0"/>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4</w:t>
            </w:r>
          </w:p>
        </w:tc>
        <w:tc>
          <w:tcPr>
            <w:tcW w:w="1036" w:type="dxa"/>
            <w:noWrap w:val="0"/>
            <w:vAlign w:val="center"/>
          </w:tcPr>
          <w:p w14:paraId="6C536013">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065" w:type="dxa"/>
            <w:noWrap w:val="0"/>
            <w:vAlign w:val="center"/>
          </w:tcPr>
          <w:p w14:paraId="5D8CB1FA">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954" w:type="dxa"/>
            <w:noWrap w:val="0"/>
            <w:vAlign w:val="center"/>
          </w:tcPr>
          <w:p w14:paraId="08A4DC62">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2101" w:type="dxa"/>
            <w:noWrap w:val="0"/>
            <w:vAlign w:val="center"/>
          </w:tcPr>
          <w:p w14:paraId="6F9F3ACA">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146" w:type="dxa"/>
            <w:tcBorders>
              <w:right w:val="single" w:color="auto" w:sz="4" w:space="0"/>
            </w:tcBorders>
            <w:noWrap w:val="0"/>
            <w:vAlign w:val="center"/>
          </w:tcPr>
          <w:p w14:paraId="74970669">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668" w:type="dxa"/>
            <w:tcBorders>
              <w:left w:val="single" w:color="auto" w:sz="4" w:space="0"/>
              <w:right w:val="single" w:color="auto" w:sz="4" w:space="0"/>
            </w:tcBorders>
            <w:noWrap w:val="0"/>
            <w:vAlign w:val="center"/>
          </w:tcPr>
          <w:p w14:paraId="32375D7C">
            <w:pPr>
              <w:adjustRightInd w:val="0"/>
              <w:snapToGrid w:val="0"/>
              <w:spacing w:line="360" w:lineRule="auto"/>
              <w:jc w:val="center"/>
              <w:rPr>
                <w:rFonts w:hint="default" w:ascii="Times New Roman" w:hAnsi="Times New Roman" w:eastAsia="仿宋_GB2312" w:cs="Times New Roman"/>
                <w:kern w:val="2"/>
                <w:sz w:val="21"/>
                <w:szCs w:val="21"/>
                <w:lang w:val="en-US" w:eastAsia="zh-CN" w:bidi="ar-SA"/>
              </w:rPr>
            </w:pPr>
          </w:p>
        </w:tc>
        <w:tc>
          <w:tcPr>
            <w:tcW w:w="1177" w:type="dxa"/>
            <w:tcBorders>
              <w:left w:val="single" w:color="auto" w:sz="4" w:space="0"/>
            </w:tcBorders>
            <w:noWrap w:val="0"/>
            <w:vAlign w:val="center"/>
          </w:tcPr>
          <w:p w14:paraId="39BEB9A0">
            <w:pPr>
              <w:adjustRightInd w:val="0"/>
              <w:snapToGrid w:val="0"/>
              <w:spacing w:line="360" w:lineRule="auto"/>
              <w:jc w:val="center"/>
              <w:rPr>
                <w:rFonts w:hint="default" w:ascii="Times New Roman" w:hAnsi="Times New Roman" w:cs="Times New Roman"/>
                <w:sz w:val="21"/>
                <w:szCs w:val="21"/>
              </w:rPr>
            </w:pPr>
          </w:p>
        </w:tc>
      </w:tr>
    </w:tbl>
    <w:p w14:paraId="0DBBFE77">
      <w:pPr>
        <w:pStyle w:val="18"/>
        <w:rPr>
          <w:rFonts w:hint="default" w:ascii="仿宋_GB2312" w:hAnsi="仿宋_GB2312" w:eastAsia="仿宋_GB2312" w:cs="仿宋_GB2312"/>
          <w:sz w:val="32"/>
          <w:szCs w:val="40"/>
          <w:lang w:val="en-US" w:eastAsia="zh-CN"/>
        </w:rPr>
      </w:pPr>
    </w:p>
    <w:sectPr>
      <w:pgSz w:w="11906" w:h="16838"/>
      <w:pgMar w:top="1440" w:right="1800" w:bottom="1440" w:left="1800" w:header="851" w:footer="992" w:gutter="0"/>
      <w:pgNumType w:fmt="decimal"/>
      <w:cols w:space="0" w:num="1"/>
      <w:rtlGutter w:val="0"/>
      <w:docGrid w:type="lines" w:linePitch="38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script"/>
    <w:pitch w:val="default"/>
    <w:sig w:usb0="A00002BF" w:usb1="38CF7CFA" w:usb2="00082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AE6FB">
    <w:pPr>
      <w:spacing w:line="233" w:lineRule="auto"/>
      <w:ind w:left="7509"/>
      <w:rPr>
        <w:rFonts w:ascii="宋体" w:hAnsi="宋体" w:eastAsia="宋体" w:cs="宋体"/>
        <w:sz w:val="31"/>
        <w:szCs w:val="31"/>
      </w:rPr>
    </w:pPr>
    <w:r>
      <w:rPr>
        <w:sz w:val="3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75ED05">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E75ED05">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8313E3"/>
    <w:multiLevelType w:val="singleLevel"/>
    <w:tmpl w:val="2A8313E3"/>
    <w:lvl w:ilvl="0" w:tentative="0">
      <w:start w:val="1"/>
      <w:numFmt w:val="chineseCounting"/>
      <w:suff w:val="nothing"/>
      <w:lvlText w:val="%1、"/>
      <w:lvlJc w:val="left"/>
      <w:rPr>
        <w:rFonts w:hint="eastAsia"/>
      </w:rPr>
    </w:lvl>
  </w:abstractNum>
  <w:abstractNum w:abstractNumId="1">
    <w:nsid w:val="3ACD7FF8"/>
    <w:multiLevelType w:val="singleLevel"/>
    <w:tmpl w:val="3ACD7FF8"/>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attachedTemplate r:id="rId1"/>
  <w:documentProtection w:enforcement="0"/>
  <w:defaultTabStop w:val="420"/>
  <w:drawingGridHorizontalSpacing w:val="210"/>
  <w:drawingGridVerticalSpacing w:val="194"/>
  <w:displayHorizontalDrawingGridEvery w:val="1"/>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A24D9F"/>
    <w:rsid w:val="047E1055"/>
    <w:rsid w:val="04C602E0"/>
    <w:rsid w:val="06EA7FE5"/>
    <w:rsid w:val="07011CC2"/>
    <w:rsid w:val="07644792"/>
    <w:rsid w:val="09284798"/>
    <w:rsid w:val="0F0A6D3C"/>
    <w:rsid w:val="0F2B6FD9"/>
    <w:rsid w:val="108A31F2"/>
    <w:rsid w:val="183C240D"/>
    <w:rsid w:val="1AA24D9F"/>
    <w:rsid w:val="20312F32"/>
    <w:rsid w:val="20F2033D"/>
    <w:rsid w:val="28DA2E89"/>
    <w:rsid w:val="2A4254F9"/>
    <w:rsid w:val="2CF4444F"/>
    <w:rsid w:val="2D1F32F4"/>
    <w:rsid w:val="2E137AD5"/>
    <w:rsid w:val="2ECC1AD7"/>
    <w:rsid w:val="323B4D81"/>
    <w:rsid w:val="34B70380"/>
    <w:rsid w:val="374108A2"/>
    <w:rsid w:val="386F2593"/>
    <w:rsid w:val="389C25C1"/>
    <w:rsid w:val="3AE174A3"/>
    <w:rsid w:val="43446334"/>
    <w:rsid w:val="44A84E71"/>
    <w:rsid w:val="477DCE1E"/>
    <w:rsid w:val="485E2423"/>
    <w:rsid w:val="4EA529C9"/>
    <w:rsid w:val="4FF07B66"/>
    <w:rsid w:val="524662F7"/>
    <w:rsid w:val="52C6444D"/>
    <w:rsid w:val="573E1E21"/>
    <w:rsid w:val="5B487E91"/>
    <w:rsid w:val="5CF9550F"/>
    <w:rsid w:val="5EFEBDE8"/>
    <w:rsid w:val="5FE429DF"/>
    <w:rsid w:val="68CA2609"/>
    <w:rsid w:val="68CC1AED"/>
    <w:rsid w:val="69BB0F42"/>
    <w:rsid w:val="6A637494"/>
    <w:rsid w:val="6BAB5BD0"/>
    <w:rsid w:val="6BCF62E6"/>
    <w:rsid w:val="6CD3A16D"/>
    <w:rsid w:val="6D535020"/>
    <w:rsid w:val="6E5F49A6"/>
    <w:rsid w:val="6FFF37D2"/>
    <w:rsid w:val="70DE2EF1"/>
    <w:rsid w:val="7C5F4108"/>
    <w:rsid w:val="7F6D7B9F"/>
    <w:rsid w:val="7F79C282"/>
    <w:rsid w:val="7F7B6CAE"/>
    <w:rsid w:val="7FBF6DD0"/>
    <w:rsid w:val="7FCD17FE"/>
    <w:rsid w:val="7FD7E9A0"/>
    <w:rsid w:val="7FE9FBB2"/>
    <w:rsid w:val="8FFFA67E"/>
    <w:rsid w:val="A97F623E"/>
    <w:rsid w:val="AFBF8780"/>
    <w:rsid w:val="BEEFCB4B"/>
    <w:rsid w:val="BFE6F841"/>
    <w:rsid w:val="D5DE8897"/>
    <w:rsid w:val="E7FE3684"/>
    <w:rsid w:val="EFFF70E4"/>
    <w:rsid w:val="F7EEC240"/>
    <w:rsid w:val="FBF75102"/>
    <w:rsid w:val="FDDC5620"/>
    <w:rsid w:val="FDEA700A"/>
    <w:rsid w:val="FFBFCE42"/>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w:hAnsi="Arial" w:eastAsia="微软雅黑" w:cs="Times New Roman"/>
      <w:kern w:val="2"/>
      <w:sz w:val="21"/>
      <w:szCs w:val="24"/>
      <w:lang w:val="en-US" w:eastAsia="zh-CN" w:bidi="ar-SA"/>
    </w:rPr>
  </w:style>
  <w:style w:type="paragraph" w:styleId="4">
    <w:name w:val="heading 1"/>
    <w:basedOn w:val="1"/>
    <w:next w:val="1"/>
    <w:qFormat/>
    <w:uiPriority w:val="0"/>
    <w:pPr>
      <w:keepNext/>
      <w:keepLines/>
      <w:spacing w:before="260" w:beforeLines="0" w:beforeAutospacing="0" w:after="220" w:afterLines="0" w:afterAutospacing="0" w:line="240" w:lineRule="auto"/>
      <w:outlineLvl w:val="0"/>
    </w:pPr>
    <w:rPr>
      <w:rFonts w:ascii="Arial" w:hAnsi="Arial"/>
      <w:b/>
      <w:kern w:val="44"/>
      <w:sz w:val="36"/>
    </w:rPr>
  </w:style>
  <w:style w:type="paragraph" w:styleId="5">
    <w:name w:val="heading 2"/>
    <w:basedOn w:val="1"/>
    <w:next w:val="1"/>
    <w:unhideWhenUsed/>
    <w:qFormat/>
    <w:uiPriority w:val="0"/>
    <w:pPr>
      <w:keepNext/>
      <w:keepLines/>
      <w:spacing w:before="260" w:beforeLines="0" w:beforeAutospacing="0" w:after="200" w:afterLines="0" w:afterAutospacing="0" w:line="240" w:lineRule="auto"/>
      <w:outlineLvl w:val="1"/>
    </w:pPr>
    <w:rPr>
      <w:rFonts w:ascii="Arial" w:hAnsi="Arial"/>
      <w:b/>
      <w:sz w:val="32"/>
    </w:rPr>
  </w:style>
  <w:style w:type="paragraph" w:styleId="6">
    <w:name w:val="heading 3"/>
    <w:basedOn w:val="1"/>
    <w:next w:val="1"/>
    <w:unhideWhenUsed/>
    <w:qFormat/>
    <w:uiPriority w:val="0"/>
    <w:pPr>
      <w:keepNext/>
      <w:keepLines/>
      <w:spacing w:before="260" w:beforeLines="0" w:beforeAutospacing="0" w:after="180" w:afterLines="0" w:afterAutospacing="0" w:line="240" w:lineRule="auto"/>
      <w:outlineLvl w:val="2"/>
    </w:pPr>
    <w:rPr>
      <w:rFonts w:ascii="Arial" w:hAnsi="Arial"/>
      <w:b/>
      <w:sz w:val="30"/>
    </w:rPr>
  </w:style>
  <w:style w:type="paragraph" w:styleId="7">
    <w:name w:val="heading 4"/>
    <w:basedOn w:val="1"/>
    <w:next w:val="1"/>
    <w:unhideWhenUsed/>
    <w:qFormat/>
    <w:uiPriority w:val="0"/>
    <w:pPr>
      <w:keepNext/>
      <w:keepLines/>
      <w:spacing w:before="240" w:beforeLines="0" w:beforeAutospacing="0" w:after="160" w:afterLines="0" w:afterAutospacing="0" w:line="240" w:lineRule="auto"/>
      <w:outlineLvl w:val="3"/>
    </w:pPr>
    <w:rPr>
      <w:rFonts w:ascii="Arial" w:hAnsi="Arial"/>
      <w:b/>
      <w:sz w:val="28"/>
    </w:rPr>
  </w:style>
  <w:style w:type="paragraph" w:styleId="8">
    <w:name w:val="heading 5"/>
    <w:basedOn w:val="1"/>
    <w:next w:val="1"/>
    <w:unhideWhenUsed/>
    <w:qFormat/>
    <w:uiPriority w:val="0"/>
    <w:pPr>
      <w:keepNext/>
      <w:keepLines/>
      <w:spacing w:before="240" w:beforeLines="0" w:beforeAutospacing="0" w:after="160" w:afterLines="0" w:afterAutospacing="0" w:line="240" w:lineRule="auto"/>
      <w:outlineLvl w:val="4"/>
    </w:pPr>
    <w:rPr>
      <w:rFonts w:ascii="Arial" w:hAnsi="Arial"/>
      <w:b/>
      <w:sz w:val="28"/>
    </w:rPr>
  </w:style>
  <w:style w:type="paragraph" w:styleId="9">
    <w:name w:val="heading 6"/>
    <w:basedOn w:val="1"/>
    <w:next w:val="1"/>
    <w:unhideWhenUsed/>
    <w:qFormat/>
    <w:uiPriority w:val="0"/>
    <w:pPr>
      <w:keepNext/>
      <w:keepLines/>
      <w:spacing w:before="240" w:beforeLines="0" w:beforeAutospacing="0" w:after="120" w:afterLines="0" w:afterAutospacing="0" w:line="240" w:lineRule="auto"/>
      <w:outlineLvl w:val="5"/>
    </w:pPr>
    <w:rPr>
      <w:rFonts w:ascii="Arial" w:hAnsi="Arial"/>
      <w:b/>
      <w:sz w:val="24"/>
    </w:rPr>
  </w:style>
  <w:style w:type="paragraph" w:styleId="10">
    <w:name w:val="heading 7"/>
    <w:basedOn w:val="1"/>
    <w:next w:val="1"/>
    <w:unhideWhenUsed/>
    <w:qFormat/>
    <w:uiPriority w:val="0"/>
    <w:pPr>
      <w:keepNext/>
      <w:keepLines/>
      <w:spacing w:before="240" w:beforeLines="0" w:beforeAutospacing="0" w:after="120" w:afterLines="0" w:afterAutospacing="0" w:line="240" w:lineRule="auto"/>
      <w:outlineLvl w:val="6"/>
    </w:pPr>
    <w:rPr>
      <w:rFonts w:ascii="Arial" w:hAnsi="Arial"/>
      <w:b/>
      <w:sz w:val="24"/>
    </w:rPr>
  </w:style>
  <w:style w:type="paragraph" w:styleId="11">
    <w:name w:val="heading 8"/>
    <w:basedOn w:val="1"/>
    <w:next w:val="1"/>
    <w:unhideWhenUsed/>
    <w:qFormat/>
    <w:uiPriority w:val="0"/>
    <w:pPr>
      <w:keepNext/>
      <w:keepLines/>
      <w:spacing w:before="180" w:beforeLines="0" w:beforeAutospacing="0" w:after="64" w:afterLines="0" w:afterAutospacing="0" w:line="240" w:lineRule="auto"/>
      <w:outlineLvl w:val="7"/>
    </w:pPr>
    <w:rPr>
      <w:rFonts w:ascii="Arial" w:hAnsi="Arial"/>
      <w:sz w:val="24"/>
    </w:rPr>
  </w:style>
  <w:style w:type="paragraph" w:styleId="12">
    <w:name w:val="heading 9"/>
    <w:basedOn w:val="1"/>
    <w:next w:val="1"/>
    <w:unhideWhenUsed/>
    <w:qFormat/>
    <w:uiPriority w:val="0"/>
    <w:pPr>
      <w:keepNext/>
      <w:keepLines/>
      <w:spacing w:before="180" w:beforeLines="0" w:beforeAutospacing="0" w:after="64" w:afterLines="0" w:afterAutospacing="0" w:line="240" w:lineRule="auto"/>
      <w:outlineLvl w:val="8"/>
    </w:pPr>
    <w:rPr>
      <w:rFonts w:ascii="Arial" w:hAnsi="Arial"/>
    </w:rPr>
  </w:style>
  <w:style w:type="character" w:default="1" w:styleId="17">
    <w:name w:val="Default Paragraph Font"/>
    <w:qFormat/>
    <w:uiPriority w:val="0"/>
    <w:rPr>
      <w:rFonts w:eastAsia="微软雅黑" w:asciiTheme="minorAscii" w:hAnsiTheme="minorAscii"/>
    </w:rPr>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300" w:lineRule="atLeast"/>
      <w:jc w:val="center"/>
    </w:pPr>
    <w:rPr>
      <w:color w:val="000000"/>
      <w:sz w:val="44"/>
    </w:rPr>
  </w:style>
  <w:style w:type="paragraph" w:customStyle="1" w:styleId="3">
    <w:name w:val="目录 11"/>
    <w:next w:val="1"/>
    <w:qFormat/>
    <w:uiPriority w:val="0"/>
    <w:pPr>
      <w:wordWrap w:val="0"/>
      <w:jc w:val="both"/>
    </w:pPr>
    <w:rPr>
      <w:rFonts w:ascii="Calibri" w:hAnsi="Calibri" w:eastAsia="宋体" w:cs="Times New Roman"/>
      <w:sz w:val="21"/>
      <w:szCs w:val="22"/>
      <w:lang w:val="en-US" w:eastAsia="zh-CN" w:bidi="ar-SA"/>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6">
    <w:name w:val="Table Grid"/>
    <w:basedOn w:val="15"/>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lainText"/>
    <w:basedOn w:val="1"/>
    <w:qFormat/>
    <w:uiPriority w:val="0"/>
    <w:pPr>
      <w:spacing w:line="240" w:lineRule="auto"/>
      <w:jc w:val="both"/>
      <w:textAlignment w:val="baseline"/>
    </w:pPr>
    <w:rPr>
      <w:rFonts w:ascii="宋体" w:hAnsi="Courier New" w:eastAsia="宋体" w:cs="Times New Roman"/>
      <w:kern w:val="2"/>
      <w:sz w:val="21"/>
      <w:lang w:val="en-US" w:eastAsia="zh-CN" w:bidi="ar-SA"/>
    </w:rPr>
  </w:style>
  <w:style w:type="paragraph" w:customStyle="1" w:styleId="19">
    <w:name w:val="Default"/>
    <w:basedOn w:val="20"/>
    <w:next w:val="1"/>
    <w:qFormat/>
    <w:uiPriority w:val="0"/>
    <w:pPr>
      <w:widowControl w:val="0"/>
      <w:autoSpaceDE w:val="0"/>
      <w:autoSpaceDN w:val="0"/>
      <w:adjustRightInd w:val="0"/>
    </w:pPr>
    <w:rPr>
      <w:rFonts w:hint="eastAsia" w:ascii="方正小标宋_GBK" w:hAnsi="方正小标宋_GBK" w:eastAsia="方正小标宋_GBK"/>
      <w:color w:val="000000"/>
      <w:sz w:val="24"/>
      <w:szCs w:val="22"/>
      <w:lang w:val="en-US" w:eastAsia="zh-CN" w:bidi="ar-SA"/>
    </w:rPr>
  </w:style>
  <w:style w:type="paragraph" w:customStyle="1" w:styleId="20">
    <w:name w:val="正文1"/>
    <w:qFormat/>
    <w:uiPriority w:val="0"/>
    <w:pPr>
      <w:jc w:val="both"/>
    </w:pPr>
    <w:rPr>
      <w:rFonts w:ascii="Times New Roman" w:hAnsi="Times New Roman" w:eastAsia="宋体" w:cs="Times New Roman"/>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data\weboffice\C:\data\weboffice\C:\data\weboffice\C:\data\weboffice\C:\data\weboffice\C:\data\weboffice\C:\Users\June\Library\Containers\com.kingsoft.wpsoffice.mac\Data\C:\data\weboffice\C:\home\ranpeng\C:\Users\53YFKM2\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5519</Words>
  <Characters>5609</Characters>
  <Lines>0</Lines>
  <Paragraphs>0</Paragraphs>
  <TotalTime>1</TotalTime>
  <ScaleCrop>false</ScaleCrop>
  <LinksUpToDate>false</LinksUpToDate>
  <CharactersWithSpaces>5712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2018-05-27T17:24:00Z</dcterms:created>
  <dc:creator>Chenxi</dc:creator>
  <cp:lastModifiedBy>浅蓝色呼吸</cp:lastModifiedBy>
  <cp:lastPrinted>2025-10-31T09:28:00Z</cp:lastPrinted>
  <dcterms:modified xsi:type="dcterms:W3CDTF">2026-01-12T08:01:59Z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woTemplateTypoMode" linkTarget="0">
    <vt:lpwstr/>
  </property>
  <property fmtid="{D5CDD505-2E9C-101B-9397-08002B2CF9AE}" pid="4" name="woTemplate" linkTarget="0">
    <vt:i4>0</vt:i4>
  </property>
  <property fmtid="{D5CDD505-2E9C-101B-9397-08002B2CF9AE}" pid="5" name="KSOTemplateDocerSaveRecord">
    <vt:lpwstr>eyJoZGlkIjoiZTQ4OTkxMTBkZjRjOTYzNTBmZjQ0YWQzMDQ1OTA2ZGEiLCJ1c2VySWQiOiI2OTc2ODg2MTUifQ==</vt:lpwstr>
  </property>
  <property fmtid="{D5CDD505-2E9C-101B-9397-08002B2CF9AE}" pid="6" name="ICV">
    <vt:lpwstr>AD2AECAF5DA040DCA01BA72511D15DCE_12</vt:lpwstr>
  </property>
</Properties>
</file>