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spacing w:line="220" w:lineRule="atLeast"/>
        <w:jc w:val="center"/>
        <w:rPr>
          <w:rFonts w:hint="eastAsia" w:ascii="华文中宋" w:hAnsi="华文中宋" w:eastAsia="华文中宋" w:cs="华文中宋"/>
          <w:b/>
          <w:bCs/>
          <w:color w:val="FF0000"/>
          <w:spacing w:val="-20"/>
          <w:w w:val="40"/>
          <w:kern w:val="13"/>
          <w:sz w:val="120"/>
          <w:szCs w:val="120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-20"/>
          <w:w w:val="40"/>
          <w:kern w:val="13"/>
          <w:sz w:val="120"/>
          <w:szCs w:val="120"/>
        </w:rPr>
        <w:t>北京市门头沟区安全生产委员会办公室文件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门安办发〔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 w:cs="仿宋_GB2312"/>
          <w:sz w:val="32"/>
          <w:szCs w:val="32"/>
        </w:rPr>
        <w:t>〕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33020</wp:posOffset>
                </wp:positionH>
                <wp:positionV relativeFrom="paragraph">
                  <wp:posOffset>81915</wp:posOffset>
                </wp:positionV>
                <wp:extent cx="5384800" cy="0"/>
                <wp:effectExtent l="0" t="10795" r="6350" b="177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848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6pt;margin-top:6.45pt;height:0pt;width:424pt;z-index:251660288;mso-width-relative:page;mso-height-relative:page;" filled="f" stroked="t" coordsize="21600,21600" o:gfxdata="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tdOOr1QAAAAcBAAAPAAAA&#10;AAAAAAEAIAAAACIAAABkcnMvZG93bnJldi54bWxQSwECFAAUAAAACACHTuJA1D1Gjd8BAAClAwAA&#10;DgAAAAAAAAABACAAAAAkAQAAZHJzL2Uyb0RvYy54bWxQSwUGAAAAAAYABgBZAQAAdQ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关于印发《2025年度门头沟区国庆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节前安全大检查工作方案》的通知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区安委会各成员单位：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为深入贯彻落实市安委办《关于坚决防范压减各类事故 全力做好中秋国庆假期和四季度安全生产工作的通知》精神，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落实区领导相关要求，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全面加强我区国庆、中秋期间安全生产工作，有效防范和遏制各类事故发生，确保人民群众度过一个平安、祥和的节日，区安委会办公室研究制定了《2025年度门头沟区国庆及中秋节前安全大检查工作方案》，现印发给你们，请认真组织实施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　　　　北京市门头沟区安全生产委员会办公室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2025年9月1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联系人：马双娇；联系电话：69843123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2025年度门头沟区国庆及中秋节前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安全大检查工作方案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为切实做好2025年国庆、中秋期间安全生产工作，坚决防范和压减各类事故，保障人民群众生命财产安全，结合我区实际，制定本工作方案。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一、工作目标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紧紧围绕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防风险、保安全、迎佳节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主线，通过全面、深入、细致的安全检查，进一步压实安全生产责任，排查治理安全隐患，强化重点行业领域安全监管，提升应急处置能力，确保国庆、中秋期间全区安全生产形势稳定。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二、检查时间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即日起至2025年10月8日。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三、重点检查领域及内容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（一）深入推进安全生产治本攻坚三年行动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结合我区治本攻坚三年行动工作落实，督促生产经营单位自查自改重大隐患，及时录入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企安安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系统。持续推进动火作业、城镇燃气、电动自行车等重点领域整治，严格落实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两个以上独立通道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”“</w:t>
      </w:r>
      <w:r>
        <w:rPr>
          <w:rFonts w:hint="eastAsia" w:ascii="仿宋_GB2312" w:hAnsi="仿宋_GB2312" w:eastAsia="仿宋_GB2312" w:cs="仿宋_GB2312"/>
          <w:sz w:val="32"/>
          <w:szCs w:val="32"/>
        </w:rPr>
        <w:t>禁止边营业边施工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等兜底措施。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（二）强化文旅领域风险防范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加强对旅游景区、公园、民宿、文化娱乐场所的安全管理，重点检查玻璃栈道、大型游乐设施等设备安全运行情况。针对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大人流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风险，制定完善客流管控和应急疏散预案，防止拥挤踩踏。加强野外景区、未开发区域的安全警示和管控，防止游客误入危险区域。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（三）加强城市运行安全保障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加强对水、电、气、热等城市生命线的安全巡查和维护，保障节日期间供应稳定。突出餐饮场所、商住混合体、农贸市场等燃气使用安全，严厉打击非法充装、运输、销售等行为。加强户外广告、照明设施、林区输配电设施的安全检查，防范大风、降雨等极端天气引发的次生事故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（四）持续强化道路交通安全管理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针对节日期间车流、人流高峰，加强对重点路段、景区周边、进出京主要通道的交通疏导和管控。严查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三超一疲劳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、酒驾醉驾、非法营运等行为。加强对客运、货运企业及车辆的安全检查，确保运输工具安全技术状况良好。强化轨道交通、公交运营安全管理，完善应急调度机制。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（五）强化消防和森林防灭火工作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紧盯商场市场、宾馆饭店、娱乐场所、交通枢纽、文物古建、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快递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物流、施工工地等重点场所，督促落实消防安全主体责任，严格用火用电管理，确保疏散通道畅通。加强电动自行车违规充电、动火作业、易燃材料使用等隐患治理。强化森林火源管控，加强巡查巡护，靠前部署扑火力量，严防森林火灾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（六）加强建筑施工和灾后重建安全监管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突出对在建工地、灾后重建工程、村民自建房等的安全检查，严查违法分包、不按方案施工、高处作业防护不到位等问题。加强深基坑、起重机械、脚手架、临时用电、动火作业等重点环节管理，严禁盲目赶工期、违章作业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（七）强化工贸、危化品、有限空间等领域安全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督促企业严格落实危险作业审批制度，加强现场监护和应急准备。加强对涉爆粉尘、涉危使用、有限空间作业等的隐患排查，推动重大隐患动态清零。强化危险化学品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使用、经营、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运输等环节安全管理，落实防雷防静电措施。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四、时间安排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（一）部署启动阶段（即日起至9月22日）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各单位要高度重视，明确责任分工，精心组织安排，扎实有序推进各项检查工作。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（二）集中检查阶段（9月2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sz w:val="32"/>
          <w:szCs w:val="32"/>
        </w:rPr>
        <w:t xml:space="preserve">日至10月8日）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各单位组织力量对本行业、本区域开展全覆盖、拉网式安全检查，建立隐患台账，督促立即整改。区级治本攻坚专班督导组将采取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四不两直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方式，深入一线开展督导检查，推动工作落实。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（三）总结报送阶段（10月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8</w:t>
      </w:r>
      <w:r>
        <w:rPr>
          <w:rFonts w:hint="eastAsia" w:ascii="楷体_GB2312" w:hAnsi="楷体_GB2312" w:eastAsia="楷体_GB2312" w:cs="楷体_GB2312"/>
          <w:sz w:val="32"/>
          <w:szCs w:val="32"/>
        </w:rPr>
        <w:t xml:space="preserve">日至10月11日）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各单位于10月11日前将工作总结报送至区安委办邮箱：mtgawb@bjmtg.gov.cn。总结应包括检查情况、隐患整改、典型做法、存在问题及下一步建议等内容。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五、工作要求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（一）压紧压实责任，强化组织领导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落实“党政同责、一岗双责”和“三管三必须”要求，主要领导干部亲自部署、带队检查，深入一线督导，压实属地管理、部门监管和企业主体责任。坚持问题导向，对发现的隐患立查立改，重大隐患实行挂牌督办，确保整改闭环、清账见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（二）严格执法检查，提升监管效能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合运用“四不两直”“执法+服务”等方式，加大重点领域、重点环节执法检查力度，提高精准性和实效性。推动跨部门联合执法，严厉打击违法违规行为，减少对企业非必要干扰，营造规范有序、安全稳定的节日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（三）加强应急保障，深化宣传引导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执行24小时值班和领导带班制度，强化应急物资、队伍、通信等保障，确保信息畅通、响应及时、处置高效。充分利用各类媒体平台，加强安全提示和预警信息发布，提升公众风险防范意识和自救互救能力，营造全社会关心、支持、参与安全生产的浓厚氛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90" w:beforeLines="6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553720</wp:posOffset>
                </wp:positionV>
                <wp:extent cx="5582920" cy="0"/>
                <wp:effectExtent l="0" t="4445" r="0" b="50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292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5pt;margin-top:43.6pt;height:0pt;width:439.6pt;z-index:251661312;mso-width-relative:page;mso-height-relative:page;" filled="f" stroked="t" coordsize="21600,21600" o:gfxdata="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ANue11gAAAAgBAAAPAAAAAAAA&#10;AAEAIAAAACIAAABkcnMvZG93bnJldi54bWxQSwECFAAUAAAACACHTuJA9KxMl9sBAACWAwAADgAA&#10;AAAAAAABACAAAAAl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109220</wp:posOffset>
                </wp:positionV>
                <wp:extent cx="5551170" cy="0"/>
                <wp:effectExtent l="0" t="4445" r="0" b="50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117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75pt;margin-top:8.6pt;height:0pt;width:437.1pt;z-index:251662336;mso-width-relative:page;mso-height-relative:page;" filled="f" stroked="t" coordsize="21600,21600" o:gfxdata="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lbBdM0wAAAAcBAAAPAAAAAAAAAAEA&#10;IAAAACIAAABkcnMvZG93bnJldi54bWxQSwECFAAUAAAACACHTuJAZvGigNsBAACWAwAADgAAAAAA&#10;AAABACAAAAAi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 w:cs="仿宋_GB2312"/>
          <w:color w:val="auto"/>
          <w:spacing w:val="-20"/>
          <w:sz w:val="32"/>
          <w:szCs w:val="32"/>
          <w:highlight w:val="none"/>
        </w:rPr>
        <w:t>门头沟区安全生产委员会办公室</w:t>
      </w:r>
      <w:r>
        <w:rPr>
          <w:rFonts w:ascii="仿宋_GB2312" w:eastAsia="仿宋_GB2312" w:cs="仿宋_GB2312"/>
          <w:color w:val="auto"/>
          <w:sz w:val="32"/>
          <w:szCs w:val="32"/>
          <w:highlight w:val="none"/>
        </w:rPr>
        <w:t xml:space="preserve">     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ascii="仿宋_GB2312" w:eastAsia="仿宋_GB2312" w:cs="仿宋_GB2312"/>
          <w:color w:val="auto"/>
          <w:sz w:val="32"/>
          <w:szCs w:val="32"/>
          <w:highlight w:val="none"/>
        </w:rPr>
        <w:t xml:space="preserve"> </w:t>
      </w:r>
      <w:r>
        <w:rPr>
          <w:rFonts w:ascii="仿宋_GB2312" w:eastAsia="仿宋_GB2312" w:cs="仿宋_GB2312"/>
          <w:color w:val="auto"/>
          <w:spacing w:val="-20"/>
          <w:sz w:val="32"/>
          <w:szCs w:val="32"/>
          <w:highlight w:val="none"/>
        </w:rPr>
        <w:t>20</w:t>
      </w:r>
      <w:r>
        <w:rPr>
          <w:rFonts w:hint="eastAsia" w:asci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eastAsia="仿宋_GB2312" w:cs="仿宋_GB2312"/>
          <w:color w:val="auto"/>
          <w:spacing w:val="-20"/>
          <w:sz w:val="32"/>
          <w:szCs w:val="32"/>
          <w:highlight w:val="none"/>
        </w:rPr>
        <w:t>年</w:t>
      </w:r>
      <w:r>
        <w:rPr>
          <w:rFonts w:hint="eastAsia" w:asci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eastAsia="仿宋_GB2312" w:cs="仿宋_GB2312"/>
          <w:color w:val="auto"/>
          <w:spacing w:val="-20"/>
          <w:sz w:val="32"/>
          <w:szCs w:val="32"/>
          <w:highlight w:val="none"/>
        </w:rPr>
        <w:t>月</w:t>
      </w:r>
      <w:r>
        <w:rPr>
          <w:rFonts w:hint="eastAsia" w:asci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eastAsia="仿宋_GB2312" w:cs="仿宋_GB2312"/>
          <w:color w:val="auto"/>
          <w:spacing w:val="-20"/>
          <w:sz w:val="32"/>
          <w:szCs w:val="32"/>
          <w:highlight w:val="none"/>
        </w:rPr>
        <w:t>日印发</w:t>
      </w:r>
    </w:p>
    <w:sectPr>
      <w:footerReference r:id="rId3" w:type="default"/>
      <w:pgSz w:w="11906" w:h="16838"/>
      <w:pgMar w:top="1587" w:right="1800" w:bottom="147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D47AF"/>
    <w:rsid w:val="1E8A62F6"/>
    <w:rsid w:val="207537E9"/>
    <w:rsid w:val="367B39F1"/>
    <w:rsid w:val="373B602E"/>
    <w:rsid w:val="3979073C"/>
    <w:rsid w:val="4D2D47AF"/>
    <w:rsid w:val="52B37D57"/>
    <w:rsid w:val="79445BD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00" w:lineRule="atLeast"/>
      <w:jc w:val="center"/>
    </w:pPr>
    <w:rPr>
      <w:rFonts w:ascii="Times New Roman" w:hAnsi="Times New Roman" w:eastAsia="Times New Roman" w:cs="Times New Roman"/>
      <w:color w:val="000000"/>
      <w:sz w:val="4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2064</Words>
  <Characters>2118</Characters>
  <Lines>0</Lines>
  <Paragraphs>0</Paragraphs>
  <ScaleCrop>false</ScaleCrop>
  <LinksUpToDate>false</LinksUpToDate>
  <CharactersWithSpaces>2200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2025-09-18T07:30:00Z</dcterms:created>
  <dc:creator>马可艾的WPS</dc:creator>
  <cp:lastModifiedBy>Lenovos</cp:lastModifiedBy>
  <cp:lastPrinted>2025-09-19T06:03:00Z</cp:lastPrinted>
  <dcterms:modified xsi:type="dcterms:W3CDTF">2025-09-19T06:43:48Z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10D66D5AF9AE4B1AAC5CA31DF4759AC4_13</vt:lpwstr>
  </property>
  <property fmtid="{D5CDD505-2E9C-101B-9397-08002B2CF9AE}" pid="4" name="KSOTemplateDocerSaveRecord">
    <vt:lpwstr>eyJoZGlkIjoiYTFiMzBmZDk2NjQyMzcxMWFjNWJkY2ZhMDlhMzcxNjkiLCJ1c2VySWQiOiIzNzUzNzAyOTAifQ==</vt:lpwstr>
  </property>
</Properties>
</file>